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1900"/>
        <w:gridCol w:w="2960"/>
      </w:tblGrid>
      <w:tr w:rsidR="00F83D01" w:rsidRPr="00F83D01" w:rsidTr="00CC3AB6">
        <w:trPr>
          <w:trHeight w:val="64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D01" w:rsidRPr="00F83D01" w:rsidRDefault="00CC3AB6" w:rsidP="00F83D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4.štvrťrok 2013</w:t>
            </w:r>
            <w:bookmarkStart w:id="0" w:name="_GoBack"/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83D01" w:rsidRPr="00F83D01" w:rsidTr="00CC3AB6">
        <w:trPr>
          <w:trHeight w:val="870"/>
        </w:trPr>
        <w:tc>
          <w:tcPr>
            <w:tcW w:w="3000" w:type="dxa"/>
            <w:tcBorders>
              <w:top w:val="single" w:sz="8" w:space="0" w:color="C2C2C2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EDEDED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1900" w:type="dxa"/>
            <w:tcBorders>
              <w:top w:val="single" w:sz="8" w:space="0" w:color="C2C2C2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EDEDED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  <w:t> Hodnota zákazky (v EUR bez DPH)</w:t>
            </w:r>
          </w:p>
        </w:tc>
        <w:tc>
          <w:tcPr>
            <w:tcW w:w="2960" w:type="dxa"/>
            <w:tcBorders>
              <w:top w:val="single" w:sz="8" w:space="0" w:color="C2C2C2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EDEDED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  <w:t>Identifikácia úspešného uchádzača</w:t>
            </w:r>
          </w:p>
        </w:tc>
      </w:tr>
      <w:tr w:rsidR="00F83D01" w:rsidRPr="00F83D01" w:rsidTr="00CC3AB6">
        <w:trPr>
          <w:trHeight w:val="780"/>
        </w:trPr>
        <w:tc>
          <w:tcPr>
            <w:tcW w:w="3000" w:type="dxa"/>
            <w:tcBorders>
              <w:top w:val="nil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Nákup softvéru STATA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CC3AB6" w:rsidP="00F83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5631,23,-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CC3AB6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proofErr w:type="spellStart"/>
            <w:r w:rsidRPr="00CC3AB6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Tstat</w:t>
            </w:r>
            <w:proofErr w:type="spellEnd"/>
            <w:r w:rsidRPr="00CC3AB6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3AB6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S.r.l</w:t>
            </w:r>
            <w:proofErr w:type="spellEnd"/>
            <w:r w:rsidRPr="00CC3AB6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CC3AB6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Via</w:t>
            </w:r>
            <w:proofErr w:type="spellEnd"/>
            <w:r w:rsidRPr="00CC3AB6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3AB6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Rettangolo</w:t>
            </w:r>
            <w:proofErr w:type="spellEnd"/>
            <w:r w:rsidRPr="00CC3AB6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 xml:space="preserve"> 12/14 – 67039 </w:t>
            </w:r>
            <w:proofErr w:type="spellStart"/>
            <w:r w:rsidRPr="00CC3AB6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Sulmona</w:t>
            </w:r>
            <w:proofErr w:type="spellEnd"/>
            <w:r w:rsidRPr="00CC3AB6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 xml:space="preserve"> (AQ</w:t>
            </w:r>
          </w:p>
        </w:tc>
      </w:tr>
      <w:tr w:rsidR="00F83D01" w:rsidRPr="00F83D01" w:rsidTr="00CC3AB6">
        <w:trPr>
          <w:trHeight w:val="855"/>
        </w:trPr>
        <w:tc>
          <w:tcPr>
            <w:tcW w:w="3000" w:type="dxa"/>
            <w:tcBorders>
              <w:top w:val="nil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CC3AB6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I-</w:t>
            </w:r>
            <w:proofErr w:type="spellStart"/>
            <w:r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Pady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CC3AB6" w:rsidP="00F83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1378,-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CC3AB6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proofErr w:type="spellStart"/>
            <w:r w:rsidRPr="00CC3AB6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iStyle</w:t>
            </w:r>
            <w:proofErr w:type="spellEnd"/>
            <w:r w:rsidRPr="00CC3AB6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, s.r.o., Metodova 6, 821 08 Bratislava, Slovenská republika</w:t>
            </w:r>
          </w:p>
        </w:tc>
      </w:tr>
      <w:tr w:rsidR="00F83D01" w:rsidRPr="00F83D01" w:rsidTr="00CC3AB6">
        <w:trPr>
          <w:trHeight w:val="855"/>
        </w:trPr>
        <w:tc>
          <w:tcPr>
            <w:tcW w:w="3000" w:type="dxa"/>
            <w:tcBorders>
              <w:top w:val="nil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Značkové originálne tonery do tlačiarní typu Canon a Hewlett Packard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CC3AB6" w:rsidP="00F83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2606,-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CLEAN tonery s.r.o., Za hradbami 27, 902 01 Pezinok</w:t>
            </w:r>
          </w:p>
        </w:tc>
      </w:tr>
    </w:tbl>
    <w:p w:rsidR="006C18BB" w:rsidRDefault="006C18BB"/>
    <w:sectPr w:rsidR="006C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01"/>
    <w:rsid w:val="005F0244"/>
    <w:rsid w:val="006C18BB"/>
    <w:rsid w:val="00CC3AB6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C4A4"/>
  <w15:docId w15:val="{1239719F-0531-4FE8-8E3F-E672A53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Peschkova</dc:creator>
  <cp:lastModifiedBy>peschkova</cp:lastModifiedBy>
  <cp:revision>2</cp:revision>
  <dcterms:created xsi:type="dcterms:W3CDTF">2016-12-21T19:05:00Z</dcterms:created>
  <dcterms:modified xsi:type="dcterms:W3CDTF">2016-12-21T19:05:00Z</dcterms:modified>
</cp:coreProperties>
</file>