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9" w:type="dxa"/>
        <w:jc w:val="center"/>
        <w:tblLayout w:type="fixed"/>
        <w:tblLook w:val="04A0" w:firstRow="1" w:lastRow="0" w:firstColumn="1" w:lastColumn="0" w:noHBand="0" w:noVBand="1"/>
      </w:tblPr>
      <w:tblGrid>
        <w:gridCol w:w="805"/>
        <w:gridCol w:w="1033"/>
        <w:gridCol w:w="6946"/>
        <w:gridCol w:w="855"/>
      </w:tblGrid>
      <w:tr w:rsidR="001003B1" w:rsidRPr="00DA083C" w14:paraId="5524CDA6" w14:textId="77777777" w:rsidTr="001003B1">
        <w:trPr>
          <w:trHeight w:val="468"/>
          <w:jc w:val="center"/>
        </w:trPr>
        <w:tc>
          <w:tcPr>
            <w:tcW w:w="805" w:type="dxa"/>
            <w:vAlign w:val="center"/>
          </w:tcPr>
          <w:p w14:paraId="1E16BAD5" w14:textId="77777777" w:rsidR="001003B1" w:rsidRPr="00DA083C" w:rsidRDefault="001003B1" w:rsidP="00642F6A">
            <w:pPr>
              <w:rPr>
                <w:b/>
                <w:bCs/>
                <w:sz w:val="16"/>
                <w:szCs w:val="16"/>
              </w:rPr>
            </w:pPr>
            <w:permStart w:id="1015876259" w:ed="Marek.Porubsky@rrz.sk"/>
            <w:permEnd w:id="1015876259"/>
            <w:r w:rsidRPr="00DA083C">
              <w:rPr>
                <w:b/>
                <w:bCs/>
                <w:sz w:val="16"/>
                <w:szCs w:val="16"/>
              </w:rPr>
              <w:t>Pripomienkujúci subjekt</w:t>
            </w:r>
          </w:p>
        </w:tc>
        <w:tc>
          <w:tcPr>
            <w:tcW w:w="1033" w:type="dxa"/>
            <w:vAlign w:val="center"/>
          </w:tcPr>
          <w:p w14:paraId="690A508C" w14:textId="7EF764EA" w:rsidR="001003B1" w:rsidRPr="00DA083C" w:rsidRDefault="001003B1" w:rsidP="00642F6A">
            <w:pPr>
              <w:jc w:val="center"/>
              <w:rPr>
                <w:b/>
                <w:bCs/>
                <w:sz w:val="16"/>
                <w:szCs w:val="16"/>
              </w:rPr>
            </w:pPr>
            <w:r w:rsidRPr="00DA083C">
              <w:rPr>
                <w:b/>
                <w:bCs/>
                <w:sz w:val="16"/>
                <w:szCs w:val="16"/>
              </w:rPr>
              <w:t>Pripomienka k bodu</w:t>
            </w:r>
          </w:p>
        </w:tc>
        <w:tc>
          <w:tcPr>
            <w:tcW w:w="6946" w:type="dxa"/>
            <w:vAlign w:val="center"/>
          </w:tcPr>
          <w:p w14:paraId="4BC0FC86" w14:textId="77777777" w:rsidR="001003B1" w:rsidRPr="00DA083C" w:rsidRDefault="001003B1" w:rsidP="00642F6A">
            <w:pPr>
              <w:jc w:val="both"/>
              <w:rPr>
                <w:b/>
                <w:bCs/>
                <w:sz w:val="16"/>
                <w:szCs w:val="16"/>
              </w:rPr>
            </w:pPr>
            <w:r w:rsidRPr="00DA083C">
              <w:rPr>
                <w:b/>
                <w:bCs/>
                <w:sz w:val="16"/>
                <w:szCs w:val="16"/>
              </w:rPr>
              <w:t>Text pripomienky</w:t>
            </w:r>
          </w:p>
        </w:tc>
        <w:tc>
          <w:tcPr>
            <w:tcW w:w="855" w:type="dxa"/>
            <w:vAlign w:val="center"/>
          </w:tcPr>
          <w:p w14:paraId="45A48F93" w14:textId="77777777" w:rsidR="001003B1" w:rsidRPr="00DA083C" w:rsidRDefault="001003B1" w:rsidP="00642F6A">
            <w:pPr>
              <w:jc w:val="center"/>
              <w:rPr>
                <w:b/>
                <w:bCs/>
                <w:sz w:val="16"/>
                <w:szCs w:val="16"/>
              </w:rPr>
            </w:pPr>
            <w:r w:rsidRPr="00DA083C">
              <w:rPr>
                <w:b/>
                <w:bCs/>
                <w:sz w:val="16"/>
                <w:szCs w:val="16"/>
              </w:rPr>
              <w:t>Typ</w:t>
            </w:r>
          </w:p>
        </w:tc>
      </w:tr>
      <w:tr w:rsidR="00933963" w:rsidRPr="00DA083C" w14:paraId="66B16E74" w14:textId="77777777" w:rsidTr="001003B1">
        <w:trPr>
          <w:trHeight w:val="468"/>
          <w:jc w:val="center"/>
        </w:trPr>
        <w:tc>
          <w:tcPr>
            <w:tcW w:w="805" w:type="dxa"/>
            <w:vAlign w:val="center"/>
          </w:tcPr>
          <w:p w14:paraId="40BD2077" w14:textId="7A2AAAC6" w:rsidR="00933963" w:rsidRPr="00DA083C" w:rsidRDefault="00933963" w:rsidP="00933963">
            <w:pPr>
              <w:rPr>
                <w:sz w:val="16"/>
                <w:szCs w:val="16"/>
              </w:rPr>
            </w:pPr>
            <w:r w:rsidRPr="00DA083C">
              <w:rPr>
                <w:sz w:val="16"/>
                <w:szCs w:val="16"/>
              </w:rPr>
              <w:t>KRRZ</w:t>
            </w:r>
          </w:p>
        </w:tc>
        <w:tc>
          <w:tcPr>
            <w:tcW w:w="1033" w:type="dxa"/>
            <w:vAlign w:val="center"/>
          </w:tcPr>
          <w:p w14:paraId="329351D8" w14:textId="51E661B1" w:rsidR="00933963" w:rsidRPr="00DA083C" w:rsidRDefault="00933963" w:rsidP="00933963">
            <w:pPr>
              <w:jc w:val="center"/>
              <w:rPr>
                <w:sz w:val="16"/>
                <w:szCs w:val="16"/>
              </w:rPr>
            </w:pPr>
            <w:r w:rsidRPr="00DA083C">
              <w:rPr>
                <w:sz w:val="16"/>
                <w:szCs w:val="16"/>
              </w:rPr>
              <w:t>Všeobecne</w:t>
            </w:r>
          </w:p>
        </w:tc>
        <w:tc>
          <w:tcPr>
            <w:tcW w:w="6946" w:type="dxa"/>
            <w:vAlign w:val="center"/>
          </w:tcPr>
          <w:p w14:paraId="3C442BC1" w14:textId="77777777" w:rsidR="00933963" w:rsidRPr="00DA083C" w:rsidRDefault="00933963" w:rsidP="00933963">
            <w:pPr>
              <w:jc w:val="both"/>
              <w:rPr>
                <w:sz w:val="16"/>
                <w:szCs w:val="16"/>
              </w:rPr>
            </w:pPr>
          </w:p>
          <w:p w14:paraId="60AEFF18" w14:textId="1C9FD896" w:rsidR="007A42BB" w:rsidRPr="00DA083C" w:rsidRDefault="007A42BB" w:rsidP="00933963">
            <w:pPr>
              <w:jc w:val="both"/>
              <w:rPr>
                <w:sz w:val="16"/>
                <w:szCs w:val="16"/>
              </w:rPr>
            </w:pPr>
            <w:r w:rsidRPr="00DA083C">
              <w:rPr>
                <w:sz w:val="16"/>
                <w:szCs w:val="16"/>
              </w:rPr>
              <w:t xml:space="preserve">KRRZ upozorňuje, že </w:t>
            </w:r>
            <w:r w:rsidR="007F3167" w:rsidRPr="00DA083C">
              <w:rPr>
                <w:b/>
                <w:bCs/>
                <w:sz w:val="16"/>
                <w:szCs w:val="16"/>
              </w:rPr>
              <w:t xml:space="preserve">prezentované </w:t>
            </w:r>
            <w:r w:rsidRPr="00DA083C">
              <w:rPr>
                <w:b/>
                <w:bCs/>
                <w:sz w:val="16"/>
                <w:szCs w:val="16"/>
              </w:rPr>
              <w:t xml:space="preserve">zlepšenie dlhodobej udržateľnosti verejných financií </w:t>
            </w:r>
            <w:r w:rsidR="007E428F" w:rsidRPr="00DA083C">
              <w:rPr>
                <w:b/>
                <w:bCs/>
                <w:sz w:val="16"/>
                <w:szCs w:val="16"/>
              </w:rPr>
              <w:t xml:space="preserve">na 50 ročnom horizonte </w:t>
            </w:r>
            <w:r w:rsidR="006A5B01" w:rsidRPr="00DA083C">
              <w:rPr>
                <w:b/>
                <w:bCs/>
                <w:sz w:val="16"/>
                <w:szCs w:val="16"/>
              </w:rPr>
              <w:t xml:space="preserve">nemusí byť </w:t>
            </w:r>
            <w:r w:rsidR="00CE498C" w:rsidRPr="00DA083C">
              <w:rPr>
                <w:b/>
                <w:bCs/>
                <w:sz w:val="16"/>
                <w:szCs w:val="16"/>
              </w:rPr>
              <w:t>naplnené</w:t>
            </w:r>
            <w:r w:rsidR="007F3167" w:rsidRPr="00DA083C">
              <w:rPr>
                <w:sz w:val="16"/>
                <w:szCs w:val="16"/>
              </w:rPr>
              <w:t xml:space="preserve">, </w:t>
            </w:r>
            <w:r w:rsidRPr="00DA083C">
              <w:rPr>
                <w:sz w:val="16"/>
                <w:szCs w:val="16"/>
              </w:rPr>
              <w:t xml:space="preserve">a to z dvoch dôvodov: </w:t>
            </w:r>
          </w:p>
          <w:p w14:paraId="3E65F879" w14:textId="77777777" w:rsidR="007A42BB" w:rsidRPr="00DA083C" w:rsidRDefault="007A42BB" w:rsidP="00933963">
            <w:pPr>
              <w:jc w:val="both"/>
              <w:rPr>
                <w:sz w:val="16"/>
                <w:szCs w:val="16"/>
              </w:rPr>
            </w:pPr>
          </w:p>
          <w:p w14:paraId="3B72CC35" w14:textId="3B44A931" w:rsidR="005E15CF" w:rsidRPr="00DA083C" w:rsidRDefault="00D5291E" w:rsidP="005D0945">
            <w:pPr>
              <w:jc w:val="both"/>
              <w:rPr>
                <w:sz w:val="16"/>
                <w:szCs w:val="16"/>
              </w:rPr>
            </w:pPr>
            <w:r w:rsidRPr="00DA083C">
              <w:rPr>
                <w:b/>
                <w:bCs/>
                <w:sz w:val="16"/>
                <w:szCs w:val="16"/>
              </w:rPr>
              <w:t>(i</w:t>
            </w:r>
            <w:r w:rsidR="005D0945" w:rsidRPr="00DA083C">
              <w:rPr>
                <w:b/>
                <w:bCs/>
                <w:sz w:val="16"/>
                <w:szCs w:val="16"/>
              </w:rPr>
              <w:t xml:space="preserve">) </w:t>
            </w:r>
            <w:r w:rsidR="005E15CF" w:rsidRPr="00DA083C">
              <w:rPr>
                <w:b/>
                <w:bCs/>
                <w:sz w:val="16"/>
                <w:szCs w:val="16"/>
              </w:rPr>
              <w:t>Časový nesúlad</w:t>
            </w:r>
            <w:r w:rsidR="0088059B" w:rsidRPr="00DA083C">
              <w:rPr>
                <w:b/>
                <w:bCs/>
                <w:sz w:val="16"/>
                <w:szCs w:val="16"/>
              </w:rPr>
              <w:t xml:space="preserve"> negatívnych a pozitívnych vplyvov na udržateľnosť</w:t>
            </w:r>
            <w:r w:rsidR="005E15CF" w:rsidRPr="00DA083C">
              <w:rPr>
                <w:sz w:val="16"/>
                <w:szCs w:val="16"/>
              </w:rPr>
              <w:t xml:space="preserve">: </w:t>
            </w:r>
          </w:p>
          <w:p w14:paraId="68FA2A6B" w14:textId="0FBA0E37" w:rsidR="007A42BB" w:rsidRPr="00DA083C" w:rsidRDefault="00410386" w:rsidP="007A42BB">
            <w:pPr>
              <w:jc w:val="both"/>
              <w:rPr>
                <w:sz w:val="16"/>
                <w:szCs w:val="16"/>
              </w:rPr>
            </w:pPr>
            <w:r w:rsidRPr="00DA083C">
              <w:rPr>
                <w:sz w:val="16"/>
                <w:szCs w:val="16"/>
              </w:rPr>
              <w:t>Predložený návrh zákona</w:t>
            </w:r>
            <w:r w:rsidR="00933963" w:rsidRPr="00DA083C">
              <w:rPr>
                <w:sz w:val="16"/>
                <w:szCs w:val="16"/>
              </w:rPr>
              <w:t xml:space="preserve"> </w:t>
            </w:r>
            <w:r w:rsidR="0067198D" w:rsidRPr="00DA083C">
              <w:rPr>
                <w:sz w:val="16"/>
                <w:szCs w:val="16"/>
              </w:rPr>
              <w:t xml:space="preserve">zabezpečuje </w:t>
            </w:r>
            <w:r w:rsidR="00933963" w:rsidRPr="00DA083C">
              <w:rPr>
                <w:sz w:val="16"/>
                <w:szCs w:val="16"/>
              </w:rPr>
              <w:t>zlepš</w:t>
            </w:r>
            <w:r w:rsidR="0067198D" w:rsidRPr="00DA083C">
              <w:rPr>
                <w:sz w:val="16"/>
                <w:szCs w:val="16"/>
              </w:rPr>
              <w:t>enie</w:t>
            </w:r>
            <w:r w:rsidR="00933963" w:rsidRPr="00DA083C">
              <w:rPr>
                <w:sz w:val="16"/>
                <w:szCs w:val="16"/>
              </w:rPr>
              <w:t xml:space="preserve"> dlhodob</w:t>
            </w:r>
            <w:r w:rsidR="0067198D" w:rsidRPr="00DA083C">
              <w:rPr>
                <w:sz w:val="16"/>
                <w:szCs w:val="16"/>
              </w:rPr>
              <w:t>ej</w:t>
            </w:r>
            <w:r w:rsidR="00933963" w:rsidRPr="00DA083C">
              <w:rPr>
                <w:sz w:val="16"/>
                <w:szCs w:val="16"/>
              </w:rPr>
              <w:t xml:space="preserve"> udržateľnos</w:t>
            </w:r>
            <w:r w:rsidR="0067198D" w:rsidRPr="00DA083C">
              <w:rPr>
                <w:sz w:val="16"/>
                <w:szCs w:val="16"/>
              </w:rPr>
              <w:t>ti</w:t>
            </w:r>
            <w:r w:rsidR="00933963" w:rsidRPr="00DA083C">
              <w:rPr>
                <w:sz w:val="16"/>
                <w:szCs w:val="16"/>
              </w:rPr>
              <w:t xml:space="preserve"> </w:t>
            </w:r>
            <w:r w:rsidR="00567D51" w:rsidRPr="00DA083C">
              <w:rPr>
                <w:sz w:val="16"/>
                <w:szCs w:val="16"/>
              </w:rPr>
              <w:t>prevažne</w:t>
            </w:r>
            <w:r w:rsidR="007A42BB" w:rsidRPr="00DA083C">
              <w:rPr>
                <w:sz w:val="16"/>
                <w:szCs w:val="16"/>
              </w:rPr>
              <w:t xml:space="preserve"> </w:t>
            </w:r>
            <w:r w:rsidRPr="00DA083C">
              <w:rPr>
                <w:sz w:val="16"/>
                <w:szCs w:val="16"/>
              </w:rPr>
              <w:t xml:space="preserve">opatreniami, ktorých pozitívne vplyvy sa majú prejaviť </w:t>
            </w:r>
            <w:r w:rsidR="00880CB7" w:rsidRPr="00DA083C">
              <w:rPr>
                <w:sz w:val="16"/>
                <w:szCs w:val="16"/>
              </w:rPr>
              <w:t xml:space="preserve">najmä </w:t>
            </w:r>
            <w:r w:rsidRPr="00DA083C">
              <w:rPr>
                <w:sz w:val="16"/>
                <w:szCs w:val="16"/>
              </w:rPr>
              <w:t xml:space="preserve">v budúcnosti (naviazanie dôchodkového veku </w:t>
            </w:r>
            <w:r w:rsidR="00880CB7" w:rsidRPr="00DA083C">
              <w:rPr>
                <w:sz w:val="16"/>
                <w:szCs w:val="16"/>
              </w:rPr>
              <w:t xml:space="preserve">na strednú dĺžku života </w:t>
            </w:r>
            <w:r w:rsidR="005E15CF" w:rsidRPr="00DA083C">
              <w:rPr>
                <w:sz w:val="16"/>
                <w:szCs w:val="16"/>
              </w:rPr>
              <w:t>začne</w:t>
            </w:r>
            <w:r w:rsidR="00880CB7" w:rsidRPr="00DA083C">
              <w:rPr>
                <w:sz w:val="16"/>
                <w:szCs w:val="16"/>
              </w:rPr>
              <w:t xml:space="preserve"> mať pozitívny vplyv </w:t>
            </w:r>
            <w:r w:rsidR="005E15CF" w:rsidRPr="00DA083C">
              <w:rPr>
                <w:sz w:val="16"/>
                <w:szCs w:val="16"/>
              </w:rPr>
              <w:t xml:space="preserve">postupne </w:t>
            </w:r>
            <w:r w:rsidR="00880CB7" w:rsidRPr="00DA083C">
              <w:rPr>
                <w:sz w:val="16"/>
                <w:szCs w:val="16"/>
              </w:rPr>
              <w:t xml:space="preserve">od roku 2029, </w:t>
            </w:r>
            <w:r w:rsidR="00567D51" w:rsidRPr="00DA083C">
              <w:rPr>
                <w:sz w:val="16"/>
                <w:szCs w:val="16"/>
              </w:rPr>
              <w:t xml:space="preserve">znižovanie výšky novopriznávaných dôchodkov prostredníctvom spomalenia rastu ADH sa vo výraznejšej miere prejaví tiež </w:t>
            </w:r>
            <w:r w:rsidR="0067198D" w:rsidRPr="00DA083C">
              <w:rPr>
                <w:sz w:val="16"/>
                <w:szCs w:val="16"/>
              </w:rPr>
              <w:t xml:space="preserve">postupne). </w:t>
            </w:r>
            <w:r w:rsidR="007A42BB" w:rsidRPr="00DA083C">
              <w:rPr>
                <w:sz w:val="16"/>
                <w:szCs w:val="16"/>
              </w:rPr>
              <w:t xml:space="preserve">Jedinou výnimkou je </w:t>
            </w:r>
            <w:r w:rsidR="00567D51" w:rsidRPr="00DA083C">
              <w:rPr>
                <w:sz w:val="16"/>
                <w:szCs w:val="16"/>
              </w:rPr>
              <w:t xml:space="preserve">navrhované </w:t>
            </w:r>
            <w:r w:rsidR="007A42BB" w:rsidRPr="00DA083C">
              <w:rPr>
                <w:sz w:val="16"/>
                <w:szCs w:val="16"/>
              </w:rPr>
              <w:t>zrušenie maximáln</w:t>
            </w:r>
            <w:r w:rsidR="008C7115" w:rsidRPr="00DA083C">
              <w:rPr>
                <w:sz w:val="16"/>
                <w:szCs w:val="16"/>
              </w:rPr>
              <w:t>ych</w:t>
            </w:r>
            <w:r w:rsidR="007A42BB" w:rsidRPr="00DA083C">
              <w:rPr>
                <w:sz w:val="16"/>
                <w:szCs w:val="16"/>
              </w:rPr>
              <w:t xml:space="preserve"> vymeriavac</w:t>
            </w:r>
            <w:r w:rsidR="008C7115" w:rsidRPr="00DA083C">
              <w:rPr>
                <w:sz w:val="16"/>
                <w:szCs w:val="16"/>
              </w:rPr>
              <w:t>ích</w:t>
            </w:r>
            <w:r w:rsidR="007A42BB" w:rsidRPr="00DA083C">
              <w:rPr>
                <w:sz w:val="16"/>
                <w:szCs w:val="16"/>
              </w:rPr>
              <w:t xml:space="preserve"> základ</w:t>
            </w:r>
            <w:r w:rsidR="008C7115" w:rsidRPr="00DA083C">
              <w:rPr>
                <w:sz w:val="16"/>
                <w:szCs w:val="16"/>
              </w:rPr>
              <w:t>ov</w:t>
            </w:r>
            <w:r w:rsidR="00567D51" w:rsidRPr="00DA083C">
              <w:rPr>
                <w:sz w:val="16"/>
                <w:szCs w:val="16"/>
              </w:rPr>
              <w:t xml:space="preserve"> pre platenie sociálneho poistenia</w:t>
            </w:r>
            <w:r w:rsidR="007A42BB" w:rsidRPr="00DA083C">
              <w:rPr>
                <w:sz w:val="16"/>
                <w:szCs w:val="16"/>
              </w:rPr>
              <w:t>, ktoré dlhodobú udržateľnosť zlepšuje okamžite</w:t>
            </w:r>
            <w:r w:rsidR="00567D51" w:rsidRPr="00DA083C">
              <w:rPr>
                <w:sz w:val="16"/>
                <w:szCs w:val="16"/>
              </w:rPr>
              <w:t xml:space="preserve"> (okamžitým a trvalým zvýšením príjmov)</w:t>
            </w:r>
            <w:r w:rsidR="007A42BB" w:rsidRPr="00DA083C">
              <w:rPr>
                <w:sz w:val="16"/>
                <w:szCs w:val="16"/>
              </w:rPr>
              <w:t xml:space="preserve">. </w:t>
            </w:r>
            <w:r w:rsidR="00B97BD4" w:rsidRPr="00DA083C">
              <w:rPr>
                <w:sz w:val="16"/>
                <w:szCs w:val="16"/>
              </w:rPr>
              <w:t xml:space="preserve">Toto opatrenie však nemusí byť ústavne konformné </w:t>
            </w:r>
            <w:r w:rsidR="005579B5" w:rsidRPr="00DA083C">
              <w:rPr>
                <w:sz w:val="16"/>
                <w:szCs w:val="16"/>
              </w:rPr>
              <w:t>a</w:t>
            </w:r>
            <w:r w:rsidR="00984E27" w:rsidRPr="00DA083C">
              <w:rPr>
                <w:sz w:val="16"/>
                <w:szCs w:val="16"/>
              </w:rPr>
              <w:t> </w:t>
            </w:r>
            <w:r w:rsidR="00DA083C">
              <w:rPr>
                <w:sz w:val="16"/>
                <w:szCs w:val="16"/>
              </w:rPr>
              <w:t>narúša</w:t>
            </w:r>
            <w:r w:rsidR="00984E27" w:rsidRPr="00DA083C">
              <w:rPr>
                <w:sz w:val="16"/>
                <w:szCs w:val="16"/>
              </w:rPr>
              <w:t xml:space="preserve"> </w:t>
            </w:r>
            <w:r w:rsidR="001A40AE" w:rsidRPr="00DA083C">
              <w:rPr>
                <w:sz w:val="16"/>
                <w:szCs w:val="16"/>
              </w:rPr>
              <w:t xml:space="preserve">celkový koncept odvodov ako poistenia </w:t>
            </w:r>
            <w:r w:rsidR="00B97BD4" w:rsidRPr="00DA083C">
              <w:rPr>
                <w:sz w:val="16"/>
                <w:szCs w:val="16"/>
              </w:rPr>
              <w:t xml:space="preserve">(viď pripomienku KRRZ k Čl. I Bod 75). </w:t>
            </w:r>
            <w:r w:rsidR="007A42BB" w:rsidRPr="00DA083C">
              <w:rPr>
                <w:sz w:val="16"/>
                <w:szCs w:val="16"/>
              </w:rPr>
              <w:t xml:space="preserve">Na druhej strane, </w:t>
            </w:r>
            <w:r w:rsidR="005E15CF" w:rsidRPr="00DA083C">
              <w:rPr>
                <w:sz w:val="16"/>
                <w:szCs w:val="16"/>
              </w:rPr>
              <w:t xml:space="preserve">zavedenie rodičovského dôchodku, </w:t>
            </w:r>
            <w:r w:rsidR="00445F68" w:rsidRPr="00DA083C">
              <w:rPr>
                <w:sz w:val="16"/>
                <w:szCs w:val="16"/>
              </w:rPr>
              <w:t>rozšírenie</w:t>
            </w:r>
            <w:r w:rsidR="005E15CF" w:rsidRPr="00DA083C">
              <w:rPr>
                <w:sz w:val="16"/>
                <w:szCs w:val="16"/>
              </w:rPr>
              <w:t xml:space="preserve"> podmienok vzniku nároku na predčasný dôchodok v nižšom veku (po 40 odpracovaných rokoch) pri súčasnom znížení krátenia predčasných dôchodkov zvyšuje </w:t>
            </w:r>
            <w:r w:rsidR="002211DA" w:rsidRPr="00DA083C">
              <w:rPr>
                <w:sz w:val="16"/>
                <w:szCs w:val="16"/>
              </w:rPr>
              <w:t xml:space="preserve">výdavky Sociálnej poisťovne </w:t>
            </w:r>
            <w:r w:rsidR="005E15CF" w:rsidRPr="00DA083C">
              <w:rPr>
                <w:sz w:val="16"/>
                <w:szCs w:val="16"/>
              </w:rPr>
              <w:t>okamžite a navyše zvyšuje motivácie pre odchod z trhu práce časti zdravej populácie. Oba tieto kanál</w:t>
            </w:r>
            <w:r w:rsidR="00DA3DB9" w:rsidRPr="00DA083C">
              <w:rPr>
                <w:sz w:val="16"/>
                <w:szCs w:val="16"/>
              </w:rPr>
              <w:t>y</w:t>
            </w:r>
            <w:r w:rsidR="005E15CF" w:rsidRPr="00DA083C">
              <w:rPr>
                <w:sz w:val="16"/>
                <w:szCs w:val="16"/>
              </w:rPr>
              <w:t xml:space="preserve"> dlhodobú udržateľnosť zhoršujú okamžite. </w:t>
            </w:r>
          </w:p>
          <w:p w14:paraId="343FCD87" w14:textId="0FF4D479" w:rsidR="007A42BB" w:rsidRPr="00DA083C" w:rsidRDefault="00D5291E" w:rsidP="007A42BB">
            <w:pPr>
              <w:jc w:val="both"/>
              <w:rPr>
                <w:sz w:val="16"/>
                <w:szCs w:val="16"/>
              </w:rPr>
            </w:pPr>
            <w:r w:rsidRPr="00DA083C">
              <w:rPr>
                <w:b/>
                <w:bCs/>
                <w:sz w:val="16"/>
                <w:szCs w:val="16"/>
              </w:rPr>
              <w:t>(ii</w:t>
            </w:r>
            <w:r w:rsidR="005D0945" w:rsidRPr="00DA083C">
              <w:rPr>
                <w:b/>
                <w:bCs/>
                <w:sz w:val="16"/>
                <w:szCs w:val="16"/>
              </w:rPr>
              <w:t xml:space="preserve">) </w:t>
            </w:r>
            <w:r w:rsidR="0088059B" w:rsidRPr="00DA083C">
              <w:rPr>
                <w:b/>
                <w:bCs/>
                <w:sz w:val="16"/>
                <w:szCs w:val="16"/>
              </w:rPr>
              <w:t>Asymetrická s</w:t>
            </w:r>
            <w:r w:rsidR="005E15CF" w:rsidRPr="00DA083C">
              <w:rPr>
                <w:b/>
                <w:bCs/>
                <w:sz w:val="16"/>
                <w:szCs w:val="16"/>
              </w:rPr>
              <w:t>ila legislatívnej ochrany</w:t>
            </w:r>
            <w:r w:rsidR="0088059B" w:rsidRPr="00DA083C">
              <w:rPr>
                <w:b/>
                <w:bCs/>
                <w:sz w:val="16"/>
                <w:szCs w:val="16"/>
              </w:rPr>
              <w:t xml:space="preserve"> jednotlivých opatrení</w:t>
            </w:r>
            <w:r w:rsidR="0088059B" w:rsidRPr="00DA083C">
              <w:rPr>
                <w:sz w:val="16"/>
                <w:szCs w:val="16"/>
              </w:rPr>
              <w:t xml:space="preserve"> voči ich zrušeniu</w:t>
            </w:r>
            <w:r w:rsidR="005E15CF" w:rsidRPr="00DA083C">
              <w:rPr>
                <w:sz w:val="16"/>
                <w:szCs w:val="16"/>
              </w:rPr>
              <w:t xml:space="preserve">: </w:t>
            </w:r>
          </w:p>
          <w:p w14:paraId="0C45A3B2" w14:textId="43914F09" w:rsidR="005B7CBE" w:rsidRPr="00DA083C" w:rsidRDefault="007A42BB" w:rsidP="007A42BB">
            <w:pPr>
              <w:jc w:val="both"/>
              <w:rPr>
                <w:sz w:val="16"/>
                <w:szCs w:val="16"/>
              </w:rPr>
            </w:pPr>
            <w:r w:rsidRPr="00DA083C">
              <w:rPr>
                <w:sz w:val="16"/>
                <w:szCs w:val="16"/>
              </w:rPr>
              <w:t xml:space="preserve">Opatrenia výrazne zvyšujúce výdavky okamžite od roku 2023 (rodičovský dôchodok, možnosť odchodu do dôchodku po 40 rokoch) sú od </w:t>
            </w:r>
            <w:r w:rsidR="009D0B4C">
              <w:rPr>
                <w:sz w:val="16"/>
                <w:szCs w:val="16"/>
              </w:rPr>
              <w:t>decembra</w:t>
            </w:r>
            <w:r w:rsidRPr="00DA083C">
              <w:rPr>
                <w:sz w:val="16"/>
                <w:szCs w:val="16"/>
              </w:rPr>
              <w:t xml:space="preserve"> 2020 zakotvené v Ústave SR. </w:t>
            </w:r>
            <w:r w:rsidR="00C73655" w:rsidRPr="00DA083C">
              <w:rPr>
                <w:sz w:val="16"/>
                <w:szCs w:val="16"/>
              </w:rPr>
              <w:t xml:space="preserve">Ich výška síce v Ústave SR definovaná nie je, ich existenciu však Ústava SR garantuje. </w:t>
            </w:r>
            <w:r w:rsidR="0088059B" w:rsidRPr="00DA083C">
              <w:rPr>
                <w:sz w:val="16"/>
                <w:szCs w:val="16"/>
              </w:rPr>
              <w:t xml:space="preserve">K týmto opatreniam treba pripočítať aj </w:t>
            </w:r>
            <w:r w:rsidR="00445F68" w:rsidRPr="00DA083C">
              <w:rPr>
                <w:sz w:val="16"/>
                <w:szCs w:val="16"/>
              </w:rPr>
              <w:t>ďalší</w:t>
            </w:r>
            <w:r w:rsidR="0088059B" w:rsidRPr="00DA083C">
              <w:rPr>
                <w:sz w:val="16"/>
                <w:szCs w:val="16"/>
              </w:rPr>
              <w:t xml:space="preserve"> ústavný princíp s negatívnym vplyvom na udržateľnosť podľa ktorého nesmie mať </w:t>
            </w:r>
            <w:r w:rsidR="00445F68" w:rsidRPr="00DA083C">
              <w:rPr>
                <w:sz w:val="16"/>
                <w:szCs w:val="16"/>
              </w:rPr>
              <w:t>starostlivosť o dieťa</w:t>
            </w:r>
            <w:r w:rsidR="0088059B" w:rsidRPr="00DA083C">
              <w:rPr>
                <w:sz w:val="16"/>
                <w:szCs w:val="16"/>
              </w:rPr>
              <w:t xml:space="preserve"> negatívny vplyv na </w:t>
            </w:r>
            <w:r w:rsidR="00445F68" w:rsidRPr="00DA083C">
              <w:rPr>
                <w:sz w:val="16"/>
                <w:szCs w:val="16"/>
              </w:rPr>
              <w:t xml:space="preserve">budúcu </w:t>
            </w:r>
            <w:r w:rsidR="0088059B" w:rsidRPr="00DA083C">
              <w:rPr>
                <w:sz w:val="16"/>
                <w:szCs w:val="16"/>
              </w:rPr>
              <w:t>výšku dôchodku</w:t>
            </w:r>
            <w:r w:rsidR="00445F68" w:rsidRPr="00DA083C">
              <w:rPr>
                <w:sz w:val="16"/>
                <w:szCs w:val="16"/>
              </w:rPr>
              <w:t xml:space="preserve"> (tento nie je súčasťou predloženého návrhu, bude však musieť byť schválený tak</w:t>
            </w:r>
            <w:r w:rsidR="007D2E27" w:rsidRPr="00DA083C">
              <w:rPr>
                <w:sz w:val="16"/>
                <w:szCs w:val="16"/>
              </w:rPr>
              <w:t>,</w:t>
            </w:r>
            <w:r w:rsidR="00445F68" w:rsidRPr="00DA083C">
              <w:rPr>
                <w:sz w:val="16"/>
                <w:szCs w:val="16"/>
              </w:rPr>
              <w:t xml:space="preserve"> aby bol účinný od roku 2023)</w:t>
            </w:r>
            <w:r w:rsidR="00C73655" w:rsidRPr="00DA083C">
              <w:rPr>
                <w:sz w:val="16"/>
                <w:szCs w:val="16"/>
              </w:rPr>
              <w:t xml:space="preserve">. </w:t>
            </w:r>
            <w:r w:rsidRPr="00DA083C">
              <w:rPr>
                <w:sz w:val="16"/>
                <w:szCs w:val="16"/>
              </w:rPr>
              <w:t xml:space="preserve">Na druhej strane opatrenia </w:t>
            </w:r>
            <w:r w:rsidR="00F84828" w:rsidRPr="00DA083C">
              <w:rPr>
                <w:sz w:val="16"/>
                <w:szCs w:val="16"/>
              </w:rPr>
              <w:t>z</w:t>
            </w:r>
            <w:r w:rsidR="00D72109" w:rsidRPr="00DA083C">
              <w:rPr>
                <w:sz w:val="16"/>
                <w:szCs w:val="16"/>
              </w:rPr>
              <w:t>lepšujúce</w:t>
            </w:r>
            <w:r w:rsidRPr="00DA083C">
              <w:rPr>
                <w:sz w:val="16"/>
                <w:szCs w:val="16"/>
              </w:rPr>
              <w:t xml:space="preserve"> </w:t>
            </w:r>
            <w:r w:rsidR="00445F68" w:rsidRPr="00DA083C">
              <w:rPr>
                <w:sz w:val="16"/>
                <w:szCs w:val="16"/>
              </w:rPr>
              <w:t xml:space="preserve">dlhodobú udržateľnosť na 50 ročnom horizonte </w:t>
            </w:r>
            <w:r w:rsidRPr="00DA083C">
              <w:rPr>
                <w:sz w:val="16"/>
                <w:szCs w:val="16"/>
              </w:rPr>
              <w:t>(</w:t>
            </w:r>
            <w:r w:rsidR="00713995" w:rsidRPr="00DA083C">
              <w:rPr>
                <w:sz w:val="16"/>
                <w:szCs w:val="16"/>
              </w:rPr>
              <w:t>naviazanie dôchodkového veku na</w:t>
            </w:r>
            <w:r w:rsidR="00713995" w:rsidRPr="00DA083C" w:rsidDel="00713995">
              <w:rPr>
                <w:sz w:val="16"/>
                <w:szCs w:val="16"/>
              </w:rPr>
              <w:t xml:space="preserve"> </w:t>
            </w:r>
            <w:r w:rsidRPr="00DA083C">
              <w:rPr>
                <w:sz w:val="16"/>
                <w:szCs w:val="16"/>
              </w:rPr>
              <w:t>strednú dĺžku života, znižovanie výšky novopriznaných dôchodkov</w:t>
            </w:r>
            <w:r w:rsidR="005E15CF" w:rsidRPr="00DA083C">
              <w:rPr>
                <w:sz w:val="16"/>
                <w:szCs w:val="16"/>
              </w:rPr>
              <w:t>, zrušenie maximálnych vymeriavacích základov</w:t>
            </w:r>
            <w:r w:rsidR="00445F68" w:rsidRPr="00DA083C">
              <w:rPr>
                <w:sz w:val="16"/>
                <w:szCs w:val="16"/>
              </w:rPr>
              <w:t>)</w:t>
            </w:r>
            <w:r w:rsidRPr="00DA083C">
              <w:rPr>
                <w:sz w:val="16"/>
                <w:szCs w:val="16"/>
              </w:rPr>
              <w:t xml:space="preserve"> sú prijímané obyčajným zákonom</w:t>
            </w:r>
            <w:r w:rsidR="005E15CF" w:rsidRPr="00DA083C">
              <w:rPr>
                <w:sz w:val="16"/>
                <w:szCs w:val="16"/>
              </w:rPr>
              <w:t>.</w:t>
            </w:r>
            <w:r w:rsidR="00FE5C75" w:rsidRPr="00DA083C">
              <w:rPr>
                <w:sz w:val="16"/>
                <w:szCs w:val="16"/>
              </w:rPr>
              <w:t xml:space="preserve"> </w:t>
            </w:r>
          </w:p>
          <w:p w14:paraId="7AFFE219" w14:textId="77777777" w:rsidR="005B7CBE" w:rsidRPr="00DA083C" w:rsidRDefault="005B7CBE" w:rsidP="007A42BB">
            <w:pPr>
              <w:jc w:val="both"/>
              <w:rPr>
                <w:sz w:val="16"/>
                <w:szCs w:val="16"/>
              </w:rPr>
            </w:pPr>
          </w:p>
          <w:p w14:paraId="427C063F" w14:textId="1E654B98" w:rsidR="007A42BB" w:rsidRPr="00DA083C" w:rsidRDefault="00FE5C75" w:rsidP="007A42BB">
            <w:pPr>
              <w:jc w:val="both"/>
              <w:rPr>
                <w:sz w:val="16"/>
                <w:szCs w:val="16"/>
              </w:rPr>
            </w:pPr>
            <w:r w:rsidRPr="00DA083C">
              <w:rPr>
                <w:sz w:val="16"/>
                <w:szCs w:val="16"/>
              </w:rPr>
              <w:t xml:space="preserve">Ústava </w:t>
            </w:r>
            <w:r w:rsidR="00AD6DEE" w:rsidRPr="00DA083C">
              <w:rPr>
                <w:sz w:val="16"/>
                <w:szCs w:val="16"/>
              </w:rPr>
              <w:t xml:space="preserve">SR </w:t>
            </w:r>
            <w:r w:rsidRPr="00DA083C">
              <w:rPr>
                <w:sz w:val="16"/>
                <w:szCs w:val="16"/>
              </w:rPr>
              <w:t>v</w:t>
            </w:r>
            <w:r w:rsidR="00713F00" w:rsidRPr="00DA083C">
              <w:rPr>
                <w:sz w:val="16"/>
                <w:szCs w:val="16"/>
              </w:rPr>
              <w:t xml:space="preserve">šak </w:t>
            </w:r>
            <w:r w:rsidR="003C7C79" w:rsidRPr="00DA083C">
              <w:rPr>
                <w:sz w:val="16"/>
                <w:szCs w:val="16"/>
              </w:rPr>
              <w:t xml:space="preserve">zároveň </w:t>
            </w:r>
            <w:r w:rsidR="005B7CBE" w:rsidRPr="00DA083C">
              <w:rPr>
                <w:sz w:val="16"/>
                <w:szCs w:val="16"/>
              </w:rPr>
              <w:t>v Čl. 55a hovorí, že Slovenská republika chráni</w:t>
            </w:r>
            <w:r w:rsidR="00713F00" w:rsidRPr="00DA083C">
              <w:rPr>
                <w:sz w:val="16"/>
                <w:szCs w:val="16"/>
              </w:rPr>
              <w:t xml:space="preserve"> </w:t>
            </w:r>
            <w:r w:rsidR="008B69AF" w:rsidRPr="00DA083C">
              <w:rPr>
                <w:sz w:val="16"/>
                <w:szCs w:val="16"/>
              </w:rPr>
              <w:t>dlhodobú</w:t>
            </w:r>
            <w:r w:rsidR="000E5623" w:rsidRPr="00DA083C">
              <w:rPr>
                <w:sz w:val="16"/>
                <w:szCs w:val="16"/>
              </w:rPr>
              <w:t xml:space="preserve"> </w:t>
            </w:r>
            <w:r w:rsidR="008B69AF" w:rsidRPr="00DA083C">
              <w:rPr>
                <w:sz w:val="16"/>
                <w:szCs w:val="16"/>
              </w:rPr>
              <w:t>udržateľn</w:t>
            </w:r>
            <w:r w:rsidR="008B69AF" w:rsidRPr="00DA083C" w:rsidDel="005B7CBE">
              <w:rPr>
                <w:sz w:val="16"/>
                <w:szCs w:val="16"/>
              </w:rPr>
              <w:t>o</w:t>
            </w:r>
            <w:r w:rsidR="008B69AF" w:rsidRPr="00DA083C">
              <w:rPr>
                <w:sz w:val="16"/>
                <w:szCs w:val="16"/>
              </w:rPr>
              <w:t>sť</w:t>
            </w:r>
            <w:r w:rsidR="000E5623" w:rsidRPr="00DA083C">
              <w:rPr>
                <w:sz w:val="16"/>
                <w:szCs w:val="16"/>
              </w:rPr>
              <w:t xml:space="preserve"> </w:t>
            </w:r>
            <w:r w:rsidR="005B7CBE" w:rsidRPr="00DA083C">
              <w:rPr>
                <w:sz w:val="16"/>
                <w:szCs w:val="16"/>
              </w:rPr>
              <w:t>svojho hospodárenia.</w:t>
            </w:r>
            <w:r w:rsidR="00A435BC" w:rsidRPr="00DA083C">
              <w:rPr>
                <w:sz w:val="16"/>
                <w:szCs w:val="16"/>
              </w:rPr>
              <w:t xml:space="preserve"> </w:t>
            </w:r>
            <w:r w:rsidR="00987150" w:rsidRPr="00DA083C">
              <w:rPr>
                <w:sz w:val="16"/>
                <w:szCs w:val="16"/>
              </w:rPr>
              <w:t>Doterajšia prax</w:t>
            </w:r>
            <w:r w:rsidR="00F65F8F" w:rsidRPr="00DA083C">
              <w:rPr>
                <w:sz w:val="16"/>
                <w:szCs w:val="16"/>
              </w:rPr>
              <w:t xml:space="preserve"> </w:t>
            </w:r>
            <w:r w:rsidR="00B673BF" w:rsidRPr="00DA083C">
              <w:rPr>
                <w:sz w:val="16"/>
                <w:szCs w:val="16"/>
              </w:rPr>
              <w:t xml:space="preserve">s opatreniami, ktoré </w:t>
            </w:r>
            <w:r w:rsidR="006A6CAA" w:rsidRPr="00DA083C">
              <w:rPr>
                <w:sz w:val="16"/>
                <w:szCs w:val="16"/>
              </w:rPr>
              <w:t xml:space="preserve">udržiavajú </w:t>
            </w:r>
            <w:r w:rsidR="007B6138" w:rsidRPr="00DA083C">
              <w:rPr>
                <w:sz w:val="16"/>
                <w:szCs w:val="16"/>
              </w:rPr>
              <w:t xml:space="preserve">dlhodobú udržateľnosť </w:t>
            </w:r>
            <w:r w:rsidR="00DE10FD" w:rsidRPr="00DA083C">
              <w:rPr>
                <w:sz w:val="16"/>
                <w:szCs w:val="16"/>
              </w:rPr>
              <w:t>(napr.</w:t>
            </w:r>
            <w:r w:rsidR="00C417C6" w:rsidRPr="00DA083C">
              <w:rPr>
                <w:sz w:val="16"/>
                <w:szCs w:val="16"/>
              </w:rPr>
              <w:t xml:space="preserve"> zavedenie automatu</w:t>
            </w:r>
            <w:r w:rsidR="005B7CBE" w:rsidRPr="00DA083C">
              <w:rPr>
                <w:sz w:val="16"/>
                <w:szCs w:val="16"/>
              </w:rPr>
              <w:t xml:space="preserve"> dôchodkového veku alebo inflačná valorizácia vyplácaných dôchodkov</w:t>
            </w:r>
            <w:r w:rsidR="00C417C6" w:rsidRPr="00DA083C">
              <w:rPr>
                <w:sz w:val="16"/>
                <w:szCs w:val="16"/>
              </w:rPr>
              <w:t xml:space="preserve">) </w:t>
            </w:r>
            <w:r w:rsidR="00CE3972" w:rsidRPr="00DA083C">
              <w:rPr>
                <w:sz w:val="16"/>
                <w:szCs w:val="16"/>
              </w:rPr>
              <w:t xml:space="preserve">ukazuje na </w:t>
            </w:r>
            <w:r w:rsidR="00F20F44" w:rsidRPr="00DA083C">
              <w:rPr>
                <w:sz w:val="16"/>
                <w:szCs w:val="16"/>
              </w:rPr>
              <w:t xml:space="preserve">možnú </w:t>
            </w:r>
            <w:r w:rsidR="00CE3972" w:rsidRPr="00DA083C">
              <w:rPr>
                <w:sz w:val="16"/>
                <w:szCs w:val="16"/>
              </w:rPr>
              <w:t xml:space="preserve">veľmi krátku </w:t>
            </w:r>
            <w:r w:rsidR="005B7CBE" w:rsidRPr="00DA083C">
              <w:rPr>
                <w:sz w:val="16"/>
                <w:szCs w:val="16"/>
              </w:rPr>
              <w:t xml:space="preserve">životnosť a odsúvanie </w:t>
            </w:r>
            <w:r w:rsidR="00F20F44" w:rsidRPr="00DA083C">
              <w:rPr>
                <w:sz w:val="16"/>
                <w:szCs w:val="16"/>
              </w:rPr>
              <w:t>takýchto opatrení</w:t>
            </w:r>
            <w:r w:rsidR="00265442" w:rsidRPr="00DA083C">
              <w:rPr>
                <w:sz w:val="16"/>
                <w:szCs w:val="16"/>
              </w:rPr>
              <w:t xml:space="preserve">, </w:t>
            </w:r>
            <w:r w:rsidR="00D07207" w:rsidRPr="00DA083C">
              <w:rPr>
                <w:sz w:val="16"/>
                <w:szCs w:val="16"/>
              </w:rPr>
              <w:t xml:space="preserve">aj keď nabiehajú </w:t>
            </w:r>
            <w:r w:rsidR="00FC67F3" w:rsidRPr="00DA083C">
              <w:rPr>
                <w:sz w:val="16"/>
                <w:szCs w:val="16"/>
              </w:rPr>
              <w:t xml:space="preserve">len </w:t>
            </w:r>
            <w:r w:rsidR="00D23894" w:rsidRPr="00DA083C">
              <w:rPr>
                <w:sz w:val="16"/>
                <w:szCs w:val="16"/>
              </w:rPr>
              <w:t>citl</w:t>
            </w:r>
            <w:r w:rsidR="00FC67F3" w:rsidRPr="00DA083C">
              <w:rPr>
                <w:sz w:val="16"/>
                <w:szCs w:val="16"/>
              </w:rPr>
              <w:t>i</w:t>
            </w:r>
            <w:r w:rsidR="00D23894" w:rsidRPr="00DA083C">
              <w:rPr>
                <w:sz w:val="16"/>
                <w:szCs w:val="16"/>
              </w:rPr>
              <w:t>vo postupne</w:t>
            </w:r>
            <w:r w:rsidR="00D07207" w:rsidRPr="00DA083C">
              <w:rPr>
                <w:sz w:val="16"/>
                <w:szCs w:val="16"/>
              </w:rPr>
              <w:t xml:space="preserve">, </w:t>
            </w:r>
            <w:r w:rsidR="00265442" w:rsidRPr="00DA083C">
              <w:rPr>
                <w:sz w:val="16"/>
                <w:szCs w:val="16"/>
              </w:rPr>
              <w:t>najmä ak sú uzákonené obyčajným zákonom.</w:t>
            </w:r>
            <w:r w:rsidR="002631A1" w:rsidRPr="00DA083C">
              <w:rPr>
                <w:sz w:val="16"/>
                <w:szCs w:val="16"/>
              </w:rPr>
              <w:t xml:space="preserve"> </w:t>
            </w:r>
            <w:r w:rsidR="00087921" w:rsidRPr="00DA083C">
              <w:rPr>
                <w:sz w:val="16"/>
                <w:szCs w:val="16"/>
              </w:rPr>
              <w:t xml:space="preserve">To následne </w:t>
            </w:r>
            <w:r w:rsidR="008955DE" w:rsidRPr="00DA083C">
              <w:rPr>
                <w:sz w:val="16"/>
                <w:szCs w:val="16"/>
              </w:rPr>
              <w:t xml:space="preserve">môže </w:t>
            </w:r>
            <w:r w:rsidR="00087921" w:rsidRPr="00DA083C">
              <w:rPr>
                <w:sz w:val="16"/>
                <w:szCs w:val="16"/>
              </w:rPr>
              <w:t>znamen</w:t>
            </w:r>
            <w:r w:rsidR="008955DE" w:rsidRPr="00DA083C">
              <w:rPr>
                <w:sz w:val="16"/>
                <w:szCs w:val="16"/>
              </w:rPr>
              <w:t xml:space="preserve">ať </w:t>
            </w:r>
            <w:r w:rsidR="00087921" w:rsidRPr="00DA083C">
              <w:rPr>
                <w:sz w:val="16"/>
                <w:szCs w:val="16"/>
              </w:rPr>
              <w:t>finančnú destabilizáciu</w:t>
            </w:r>
            <w:r w:rsidR="00987990" w:rsidRPr="00DA083C">
              <w:rPr>
                <w:sz w:val="16"/>
                <w:szCs w:val="16"/>
              </w:rPr>
              <w:t xml:space="preserve">, </w:t>
            </w:r>
            <w:r w:rsidR="008B69AF" w:rsidRPr="00DA083C">
              <w:rPr>
                <w:sz w:val="16"/>
                <w:szCs w:val="16"/>
              </w:rPr>
              <w:t>prameniacu</w:t>
            </w:r>
            <w:r w:rsidR="00987990" w:rsidRPr="00DA083C">
              <w:rPr>
                <w:sz w:val="16"/>
                <w:szCs w:val="16"/>
              </w:rPr>
              <w:t xml:space="preserve"> </w:t>
            </w:r>
            <w:r w:rsidR="008952EF" w:rsidRPr="00DA083C">
              <w:rPr>
                <w:sz w:val="16"/>
                <w:szCs w:val="16"/>
              </w:rPr>
              <w:t xml:space="preserve">aj </w:t>
            </w:r>
            <w:r w:rsidR="00987990" w:rsidRPr="00DA083C">
              <w:rPr>
                <w:sz w:val="16"/>
                <w:szCs w:val="16"/>
              </w:rPr>
              <w:t>z</w:t>
            </w:r>
            <w:r w:rsidR="004171A2" w:rsidRPr="00DA083C">
              <w:rPr>
                <w:sz w:val="16"/>
                <w:szCs w:val="16"/>
              </w:rPr>
              <w:t xml:space="preserve"> ponechania </w:t>
            </w:r>
            <w:r w:rsidR="008952EF" w:rsidRPr="00DA083C">
              <w:rPr>
                <w:sz w:val="16"/>
                <w:szCs w:val="16"/>
              </w:rPr>
              <w:t xml:space="preserve">existencie </w:t>
            </w:r>
            <w:r w:rsidR="008955DE" w:rsidRPr="00DA083C">
              <w:rPr>
                <w:sz w:val="16"/>
                <w:szCs w:val="16"/>
              </w:rPr>
              <w:t>novo-prijatých záväzkov.</w:t>
            </w:r>
            <w:r w:rsidR="00265442" w:rsidRPr="00DA083C">
              <w:rPr>
                <w:sz w:val="16"/>
                <w:szCs w:val="16"/>
              </w:rPr>
              <w:t xml:space="preserve"> </w:t>
            </w:r>
            <w:r w:rsidR="00A435BC" w:rsidRPr="00DA083C">
              <w:rPr>
                <w:b/>
                <w:bCs/>
                <w:sz w:val="16"/>
                <w:szCs w:val="16"/>
              </w:rPr>
              <w:t>Preto KRRZ odporúča</w:t>
            </w:r>
            <w:r w:rsidR="00863F37" w:rsidRPr="00DA083C">
              <w:rPr>
                <w:b/>
                <w:bCs/>
                <w:sz w:val="16"/>
                <w:szCs w:val="16"/>
              </w:rPr>
              <w:t>, v súlade s</w:t>
            </w:r>
            <w:r w:rsidR="003C1E2A" w:rsidRPr="00DA083C">
              <w:rPr>
                <w:b/>
                <w:bCs/>
                <w:sz w:val="16"/>
                <w:szCs w:val="16"/>
              </w:rPr>
              <w:t xml:space="preserve"> článk</w:t>
            </w:r>
            <w:r w:rsidR="005B7CBE" w:rsidRPr="00DA083C">
              <w:rPr>
                <w:b/>
                <w:bCs/>
                <w:sz w:val="16"/>
                <w:szCs w:val="16"/>
              </w:rPr>
              <w:t xml:space="preserve">om 55a </w:t>
            </w:r>
            <w:r w:rsidR="00AD6DEE" w:rsidRPr="00DA083C">
              <w:rPr>
                <w:b/>
                <w:bCs/>
                <w:sz w:val="16"/>
                <w:szCs w:val="16"/>
              </w:rPr>
              <w:t>ú</w:t>
            </w:r>
            <w:r w:rsidR="003C1E2A" w:rsidRPr="00DA083C">
              <w:rPr>
                <w:b/>
                <w:bCs/>
                <w:sz w:val="16"/>
                <w:szCs w:val="16"/>
              </w:rPr>
              <w:t>stavy, aby t</w:t>
            </w:r>
            <w:r w:rsidR="00EE30C1" w:rsidRPr="00DA083C">
              <w:rPr>
                <w:b/>
                <w:bCs/>
                <w:sz w:val="16"/>
                <w:szCs w:val="16"/>
              </w:rPr>
              <w:t>ieto opatrenia boli prijaté trvácnejšie, t</w:t>
            </w:r>
            <w:r w:rsidR="001D7FED" w:rsidRPr="00DA083C">
              <w:rPr>
                <w:b/>
                <w:bCs/>
                <w:sz w:val="16"/>
                <w:szCs w:val="16"/>
              </w:rPr>
              <w:t>.</w:t>
            </w:r>
            <w:r w:rsidR="00EE30C1" w:rsidRPr="00DA083C">
              <w:rPr>
                <w:b/>
                <w:bCs/>
                <w:sz w:val="16"/>
                <w:szCs w:val="16"/>
              </w:rPr>
              <w:t>j</w:t>
            </w:r>
            <w:r w:rsidR="001D7FED" w:rsidRPr="00DA083C">
              <w:rPr>
                <w:b/>
                <w:bCs/>
                <w:sz w:val="16"/>
                <w:szCs w:val="16"/>
              </w:rPr>
              <w:t>.</w:t>
            </w:r>
            <w:r w:rsidR="00EE30C1" w:rsidRPr="00DA083C">
              <w:rPr>
                <w:b/>
                <w:bCs/>
                <w:sz w:val="16"/>
                <w:szCs w:val="16"/>
              </w:rPr>
              <w:t xml:space="preserve"> v</w:t>
            </w:r>
            <w:r w:rsidR="002631A1" w:rsidRPr="00DA083C">
              <w:rPr>
                <w:b/>
                <w:bCs/>
                <w:sz w:val="16"/>
                <w:szCs w:val="16"/>
              </w:rPr>
              <w:t>äčším politickým konsenzom vo forme ústavného zákona</w:t>
            </w:r>
            <w:r w:rsidR="002631A1" w:rsidRPr="00DA083C">
              <w:rPr>
                <w:sz w:val="16"/>
                <w:szCs w:val="16"/>
              </w:rPr>
              <w:t xml:space="preserve">. </w:t>
            </w:r>
          </w:p>
          <w:p w14:paraId="58B7926D" w14:textId="77777777" w:rsidR="00933963" w:rsidRPr="00DA083C" w:rsidRDefault="00933963" w:rsidP="007A42BB">
            <w:pPr>
              <w:jc w:val="both"/>
              <w:rPr>
                <w:sz w:val="16"/>
                <w:szCs w:val="16"/>
              </w:rPr>
            </w:pPr>
          </w:p>
        </w:tc>
        <w:tc>
          <w:tcPr>
            <w:tcW w:w="855" w:type="dxa"/>
            <w:vAlign w:val="center"/>
          </w:tcPr>
          <w:p w14:paraId="157939F7" w14:textId="7DA7F9AB" w:rsidR="00933963" w:rsidRPr="00DA083C" w:rsidRDefault="00C270F4" w:rsidP="00933963">
            <w:pPr>
              <w:jc w:val="center"/>
              <w:rPr>
                <w:sz w:val="16"/>
                <w:szCs w:val="16"/>
              </w:rPr>
            </w:pPr>
            <w:r w:rsidRPr="00DA083C">
              <w:rPr>
                <w:sz w:val="16"/>
                <w:szCs w:val="16"/>
              </w:rPr>
              <w:t>zásadn</w:t>
            </w:r>
            <w:r w:rsidR="001E7AD2" w:rsidRPr="00DA083C">
              <w:rPr>
                <w:sz w:val="16"/>
                <w:szCs w:val="16"/>
              </w:rPr>
              <w:t>á</w:t>
            </w:r>
          </w:p>
        </w:tc>
      </w:tr>
      <w:tr w:rsidR="00933963" w:rsidRPr="00DA083C" w14:paraId="6B5E7C74" w14:textId="77777777" w:rsidTr="001003B1">
        <w:trPr>
          <w:trHeight w:val="468"/>
          <w:jc w:val="center"/>
        </w:trPr>
        <w:tc>
          <w:tcPr>
            <w:tcW w:w="805" w:type="dxa"/>
            <w:vAlign w:val="center"/>
          </w:tcPr>
          <w:p w14:paraId="10E3C35C" w14:textId="7F1085E0" w:rsidR="00933963" w:rsidRPr="00DA083C" w:rsidRDefault="00933963" w:rsidP="00933963">
            <w:pPr>
              <w:rPr>
                <w:sz w:val="16"/>
                <w:szCs w:val="16"/>
              </w:rPr>
            </w:pPr>
            <w:r w:rsidRPr="00DA083C">
              <w:rPr>
                <w:sz w:val="16"/>
                <w:szCs w:val="16"/>
              </w:rPr>
              <w:t>KRRZ</w:t>
            </w:r>
          </w:p>
        </w:tc>
        <w:tc>
          <w:tcPr>
            <w:tcW w:w="1033" w:type="dxa"/>
            <w:vAlign w:val="center"/>
          </w:tcPr>
          <w:p w14:paraId="0CCA52ED" w14:textId="37ECD671" w:rsidR="00933963" w:rsidRPr="00DA083C" w:rsidRDefault="00933963" w:rsidP="00933963">
            <w:pPr>
              <w:jc w:val="center"/>
              <w:rPr>
                <w:sz w:val="16"/>
                <w:szCs w:val="16"/>
              </w:rPr>
            </w:pPr>
            <w:r w:rsidRPr="00DA083C">
              <w:rPr>
                <w:sz w:val="16"/>
                <w:szCs w:val="16"/>
              </w:rPr>
              <w:t>Všeobecne</w:t>
            </w:r>
          </w:p>
        </w:tc>
        <w:tc>
          <w:tcPr>
            <w:tcW w:w="6946" w:type="dxa"/>
            <w:vAlign w:val="center"/>
          </w:tcPr>
          <w:p w14:paraId="0300A3F7" w14:textId="77777777" w:rsidR="00496A98" w:rsidRPr="00DA083C" w:rsidRDefault="00496A98" w:rsidP="00933963">
            <w:pPr>
              <w:jc w:val="both"/>
              <w:rPr>
                <w:sz w:val="16"/>
                <w:szCs w:val="16"/>
              </w:rPr>
            </w:pPr>
          </w:p>
          <w:p w14:paraId="13EB6E77" w14:textId="5FB0FD03" w:rsidR="00933963" w:rsidRPr="00DA083C" w:rsidRDefault="00496A98" w:rsidP="00933963">
            <w:pPr>
              <w:jc w:val="both"/>
              <w:rPr>
                <w:sz w:val="16"/>
                <w:szCs w:val="16"/>
              </w:rPr>
            </w:pPr>
            <w:r w:rsidRPr="00DA083C">
              <w:rPr>
                <w:sz w:val="16"/>
                <w:szCs w:val="16"/>
              </w:rPr>
              <w:t xml:space="preserve">KRRZ </w:t>
            </w:r>
            <w:r w:rsidR="004F6182" w:rsidRPr="00DA083C">
              <w:rPr>
                <w:sz w:val="16"/>
                <w:szCs w:val="16"/>
              </w:rPr>
              <w:t>odporúča</w:t>
            </w:r>
            <w:r w:rsidRPr="00DA083C">
              <w:rPr>
                <w:sz w:val="16"/>
                <w:szCs w:val="16"/>
              </w:rPr>
              <w:t>, aby uvoľnenie podmienok</w:t>
            </w:r>
            <w:r w:rsidR="00933963" w:rsidRPr="00DA083C">
              <w:rPr>
                <w:sz w:val="16"/>
                <w:szCs w:val="16"/>
              </w:rPr>
              <w:t xml:space="preserve"> vzniku nároku na predčasný dôchodok </w:t>
            </w:r>
            <w:r w:rsidRPr="00DA083C">
              <w:rPr>
                <w:sz w:val="16"/>
                <w:szCs w:val="16"/>
              </w:rPr>
              <w:t>(</w:t>
            </w:r>
            <w:r w:rsidR="00933963" w:rsidRPr="00DA083C">
              <w:rPr>
                <w:sz w:val="16"/>
                <w:szCs w:val="16"/>
              </w:rPr>
              <w:t>o podmienku odpracovania 40 rokov</w:t>
            </w:r>
            <w:r w:rsidRPr="00DA083C">
              <w:rPr>
                <w:sz w:val="16"/>
                <w:szCs w:val="16"/>
              </w:rPr>
              <w:t>),</w:t>
            </w:r>
            <w:r w:rsidR="00933963" w:rsidRPr="00DA083C">
              <w:rPr>
                <w:sz w:val="16"/>
                <w:szCs w:val="16"/>
              </w:rPr>
              <w:t xml:space="preserve"> bolo </w:t>
            </w:r>
            <w:r w:rsidRPr="00DA083C">
              <w:rPr>
                <w:sz w:val="16"/>
                <w:szCs w:val="16"/>
              </w:rPr>
              <w:t xml:space="preserve">doplnené o </w:t>
            </w:r>
            <w:r w:rsidR="00933963" w:rsidRPr="00DA083C">
              <w:rPr>
                <w:b/>
                <w:bCs/>
                <w:sz w:val="16"/>
                <w:szCs w:val="16"/>
              </w:rPr>
              <w:t>vznik informačnej povinnosti Sociálnej poisťovne (tzv.</w:t>
            </w:r>
            <w:r w:rsidR="00693570" w:rsidRPr="00DA083C">
              <w:rPr>
                <w:b/>
                <w:bCs/>
                <w:sz w:val="16"/>
                <w:szCs w:val="16"/>
              </w:rPr>
              <w:t> </w:t>
            </w:r>
            <w:r w:rsidR="00933963" w:rsidRPr="00DA083C">
              <w:rPr>
                <w:b/>
                <w:bCs/>
                <w:sz w:val="16"/>
                <w:szCs w:val="16"/>
              </w:rPr>
              <w:t>oranžovej obálky).</w:t>
            </w:r>
            <w:r w:rsidR="00933963" w:rsidRPr="00DA083C">
              <w:rPr>
                <w:sz w:val="16"/>
                <w:szCs w:val="16"/>
              </w:rPr>
              <w:t xml:space="preserve"> Tá by mala každému poistencovi každoročne automaticky zasielať okrem iného aj informáciu o jeho predpokladanej výške dôchodku (ideálne zo všetkých pilierov dôchodkového systému). </w:t>
            </w:r>
            <w:r w:rsidRPr="00DA083C">
              <w:rPr>
                <w:sz w:val="16"/>
                <w:szCs w:val="16"/>
              </w:rPr>
              <w:t xml:space="preserve">V aktuálnej situácii, kedy sa občania SR </w:t>
            </w:r>
            <w:r w:rsidR="004F6182" w:rsidRPr="00DA083C">
              <w:rPr>
                <w:sz w:val="16"/>
                <w:szCs w:val="16"/>
              </w:rPr>
              <w:t xml:space="preserve">výšku svojho dôchodku od Sociálnej poisťovne </w:t>
            </w:r>
            <w:r w:rsidR="007F3167" w:rsidRPr="00DA083C">
              <w:rPr>
                <w:sz w:val="16"/>
                <w:szCs w:val="16"/>
              </w:rPr>
              <w:t>dozvedia</w:t>
            </w:r>
            <w:r w:rsidR="004F6182" w:rsidRPr="00DA083C">
              <w:rPr>
                <w:sz w:val="16"/>
                <w:szCs w:val="16"/>
              </w:rPr>
              <w:t xml:space="preserve"> až po </w:t>
            </w:r>
            <w:r w:rsidR="007F3167" w:rsidRPr="00DA083C">
              <w:rPr>
                <w:sz w:val="16"/>
                <w:szCs w:val="16"/>
              </w:rPr>
              <w:t>podaní žiadosti o priznanie dôchodku (</w:t>
            </w:r>
            <w:hyperlink r:id="rId11" w:history="1">
              <w:r w:rsidR="007C5AA5" w:rsidRPr="00DA083C">
                <w:rPr>
                  <w:rStyle w:val="Hyperlink"/>
                  <w:sz w:val="16"/>
                  <w:szCs w:val="16"/>
                </w:rPr>
                <w:t>https://bit.ly/37Nz7Zv</w:t>
              </w:r>
            </w:hyperlink>
            <w:r w:rsidR="007F3167" w:rsidRPr="00DA083C">
              <w:rPr>
                <w:sz w:val="16"/>
                <w:szCs w:val="16"/>
              </w:rPr>
              <w:t>)</w:t>
            </w:r>
            <w:r w:rsidR="004F6182" w:rsidRPr="00DA083C">
              <w:rPr>
                <w:sz w:val="16"/>
                <w:szCs w:val="16"/>
              </w:rPr>
              <w:t xml:space="preserve">, </w:t>
            </w:r>
            <w:r w:rsidR="00804234" w:rsidRPr="00DA083C">
              <w:rPr>
                <w:sz w:val="16"/>
                <w:szCs w:val="16"/>
              </w:rPr>
              <w:t xml:space="preserve">by bolo </w:t>
            </w:r>
            <w:r w:rsidR="004F6182" w:rsidRPr="00DA083C">
              <w:rPr>
                <w:b/>
                <w:bCs/>
                <w:sz w:val="16"/>
                <w:szCs w:val="16"/>
              </w:rPr>
              <w:t>podľa názoru KRRZ</w:t>
            </w:r>
            <w:r w:rsidR="00804234" w:rsidRPr="00DA083C">
              <w:rPr>
                <w:b/>
                <w:bCs/>
                <w:sz w:val="16"/>
                <w:szCs w:val="16"/>
              </w:rPr>
              <w:t xml:space="preserve"> nezodpovedné uvoľňovať podmienky pre predčasný dôchodok bez </w:t>
            </w:r>
            <w:r w:rsidR="00334048" w:rsidRPr="00DA083C">
              <w:rPr>
                <w:b/>
                <w:bCs/>
                <w:sz w:val="16"/>
                <w:szCs w:val="16"/>
              </w:rPr>
              <w:t xml:space="preserve">súčasného </w:t>
            </w:r>
            <w:r w:rsidR="00804234" w:rsidRPr="00DA083C">
              <w:rPr>
                <w:b/>
                <w:bCs/>
                <w:sz w:val="16"/>
                <w:szCs w:val="16"/>
              </w:rPr>
              <w:t xml:space="preserve">zvyšovania </w:t>
            </w:r>
            <w:r w:rsidR="00334048" w:rsidRPr="00DA083C">
              <w:rPr>
                <w:b/>
                <w:bCs/>
                <w:sz w:val="16"/>
                <w:szCs w:val="16"/>
              </w:rPr>
              <w:t>informovanosti</w:t>
            </w:r>
            <w:r w:rsidR="008442BD" w:rsidRPr="00DA083C">
              <w:rPr>
                <w:b/>
                <w:bCs/>
                <w:sz w:val="16"/>
                <w:szCs w:val="16"/>
              </w:rPr>
              <w:t xml:space="preserve"> </w:t>
            </w:r>
            <w:r w:rsidR="00804234" w:rsidRPr="00DA083C">
              <w:rPr>
                <w:b/>
                <w:bCs/>
                <w:sz w:val="16"/>
                <w:szCs w:val="16"/>
              </w:rPr>
              <w:t>a transparentnosti dôchodkových</w:t>
            </w:r>
            <w:r w:rsidR="008442BD" w:rsidRPr="00DA083C">
              <w:rPr>
                <w:b/>
                <w:bCs/>
                <w:sz w:val="16"/>
                <w:szCs w:val="16"/>
              </w:rPr>
              <w:t xml:space="preserve"> nárokov</w:t>
            </w:r>
            <w:r w:rsidR="004F6182" w:rsidRPr="00DA083C">
              <w:rPr>
                <w:b/>
                <w:bCs/>
                <w:sz w:val="16"/>
                <w:szCs w:val="16"/>
              </w:rPr>
              <w:t>.</w:t>
            </w:r>
            <w:r w:rsidR="004F6182" w:rsidRPr="00DA083C">
              <w:rPr>
                <w:sz w:val="16"/>
                <w:szCs w:val="16"/>
              </w:rPr>
              <w:t xml:space="preserve"> </w:t>
            </w:r>
          </w:p>
          <w:p w14:paraId="49F994A9" w14:textId="77777777" w:rsidR="00933963" w:rsidRPr="00DA083C" w:rsidRDefault="00933963" w:rsidP="00933963">
            <w:pPr>
              <w:jc w:val="both"/>
              <w:rPr>
                <w:sz w:val="16"/>
                <w:szCs w:val="16"/>
              </w:rPr>
            </w:pPr>
          </w:p>
          <w:p w14:paraId="06C8F189" w14:textId="7F6D894F" w:rsidR="00933963" w:rsidRPr="00DA083C" w:rsidRDefault="00933963" w:rsidP="00933963">
            <w:pPr>
              <w:jc w:val="both"/>
              <w:rPr>
                <w:sz w:val="16"/>
                <w:szCs w:val="16"/>
              </w:rPr>
            </w:pPr>
            <w:r w:rsidRPr="00DA083C">
              <w:rPr>
                <w:sz w:val="16"/>
                <w:szCs w:val="16"/>
              </w:rPr>
              <w:t>Zdôvodnenie: Výška predčasného dôchodku je krátená za každých 30 dní poberania predčasného dôchodku pred dovŕšením dôchodkového veku</w:t>
            </w:r>
            <w:r w:rsidR="00F43206" w:rsidRPr="00DA083C">
              <w:rPr>
                <w:sz w:val="16"/>
                <w:szCs w:val="16"/>
              </w:rPr>
              <w:t xml:space="preserve">. Toto krátenie by malo </w:t>
            </w:r>
            <w:r w:rsidRPr="00DA083C">
              <w:rPr>
                <w:sz w:val="16"/>
                <w:szCs w:val="16"/>
              </w:rPr>
              <w:t>zabezpeč</w:t>
            </w:r>
            <w:r w:rsidR="00F43206" w:rsidRPr="00DA083C">
              <w:rPr>
                <w:sz w:val="16"/>
                <w:szCs w:val="16"/>
              </w:rPr>
              <w:t>iť tzv. aktuárnu</w:t>
            </w:r>
            <w:r w:rsidRPr="00DA083C">
              <w:rPr>
                <w:sz w:val="16"/>
                <w:szCs w:val="16"/>
              </w:rPr>
              <w:t xml:space="preserve"> neutralit</w:t>
            </w:r>
            <w:r w:rsidR="00F43206" w:rsidRPr="00DA083C">
              <w:rPr>
                <w:sz w:val="16"/>
                <w:szCs w:val="16"/>
              </w:rPr>
              <w:t>u</w:t>
            </w:r>
            <w:r w:rsidRPr="00DA083C">
              <w:rPr>
                <w:sz w:val="16"/>
                <w:szCs w:val="16"/>
              </w:rPr>
              <w:t xml:space="preserve"> (</w:t>
            </w:r>
            <w:r w:rsidR="00334048" w:rsidRPr="00DA083C">
              <w:rPr>
                <w:sz w:val="16"/>
                <w:szCs w:val="16"/>
              </w:rPr>
              <w:t xml:space="preserve">ak sa </w:t>
            </w:r>
            <w:r w:rsidRPr="00DA083C">
              <w:rPr>
                <w:sz w:val="16"/>
                <w:szCs w:val="16"/>
              </w:rPr>
              <w:t>dôchodok poberá dlhšie</w:t>
            </w:r>
            <w:r w:rsidR="005F4530" w:rsidRPr="00DA083C">
              <w:rPr>
                <w:sz w:val="16"/>
                <w:szCs w:val="16"/>
              </w:rPr>
              <w:t>,</w:t>
            </w:r>
            <w:r w:rsidRPr="00DA083C">
              <w:rPr>
                <w:sz w:val="16"/>
                <w:szCs w:val="16"/>
              </w:rPr>
              <w:t xml:space="preserve"> </w:t>
            </w:r>
            <w:r w:rsidR="00334048" w:rsidRPr="00DA083C">
              <w:rPr>
                <w:sz w:val="16"/>
                <w:szCs w:val="16"/>
              </w:rPr>
              <w:t>musí byť v</w:t>
            </w:r>
            <w:r w:rsidRPr="00DA083C">
              <w:rPr>
                <w:sz w:val="16"/>
                <w:szCs w:val="16"/>
              </w:rPr>
              <w:t xml:space="preserve"> nižšej výške, aby </w:t>
            </w:r>
            <w:r w:rsidR="00334048" w:rsidRPr="00DA083C">
              <w:rPr>
                <w:sz w:val="16"/>
                <w:szCs w:val="16"/>
              </w:rPr>
              <w:t xml:space="preserve">celkový </w:t>
            </w:r>
            <w:r w:rsidRPr="00DA083C">
              <w:rPr>
                <w:sz w:val="16"/>
                <w:szCs w:val="16"/>
              </w:rPr>
              <w:t xml:space="preserve">objem vyplatených dôchodkov do smrti bol približne rovnaký). Odchod do dôchodku výrazne skôr pred dovŕšením dôchodcovho veku nevyhnutne znamená výrazné krátenie mesačnej výšky dôchodku. Pri uvoľňovaní podmienok nároku na predčasný dôchodok by preto štát mal </w:t>
            </w:r>
            <w:r w:rsidR="00496A98" w:rsidRPr="00DA083C">
              <w:rPr>
                <w:sz w:val="16"/>
                <w:szCs w:val="16"/>
              </w:rPr>
              <w:t xml:space="preserve">dôsledne zabezpečiť </w:t>
            </w:r>
            <w:r w:rsidRPr="00DA083C">
              <w:rPr>
                <w:sz w:val="16"/>
                <w:szCs w:val="16"/>
              </w:rPr>
              <w:t xml:space="preserve">adekvátne informácie pre potenciálnych žiadateľov o predčasný dôchodok, aby sa vedeli rozhodnúť kvalifikovane. V opačnom prípade hrozí riziko nízkych dôchodkov u časti populácie, </w:t>
            </w:r>
            <w:r w:rsidR="00F43206" w:rsidRPr="00DA083C">
              <w:rPr>
                <w:sz w:val="16"/>
                <w:szCs w:val="16"/>
              </w:rPr>
              <w:t>čo</w:t>
            </w:r>
            <w:r w:rsidRPr="00DA083C">
              <w:rPr>
                <w:sz w:val="16"/>
                <w:szCs w:val="16"/>
              </w:rPr>
              <w:t xml:space="preserve"> bude vytvárať </w:t>
            </w:r>
            <w:r w:rsidR="001B7F41" w:rsidRPr="00DA083C">
              <w:rPr>
                <w:sz w:val="16"/>
                <w:szCs w:val="16"/>
              </w:rPr>
              <w:t xml:space="preserve">priamy </w:t>
            </w:r>
            <w:r w:rsidRPr="00DA083C">
              <w:rPr>
                <w:sz w:val="16"/>
                <w:szCs w:val="16"/>
              </w:rPr>
              <w:t xml:space="preserve">tlak na </w:t>
            </w:r>
            <w:r w:rsidR="00F43206" w:rsidRPr="00DA083C">
              <w:rPr>
                <w:sz w:val="16"/>
                <w:szCs w:val="16"/>
              </w:rPr>
              <w:t xml:space="preserve">verejné financie prostredníctvom doplatkov do výšky minimálneho dôchodku a následne </w:t>
            </w:r>
            <w:r w:rsidR="001B7F41" w:rsidRPr="00DA083C">
              <w:rPr>
                <w:sz w:val="16"/>
                <w:szCs w:val="16"/>
              </w:rPr>
              <w:t xml:space="preserve">nepriamo </w:t>
            </w:r>
            <w:r w:rsidR="00F43206" w:rsidRPr="00DA083C">
              <w:rPr>
                <w:sz w:val="16"/>
                <w:szCs w:val="16"/>
              </w:rPr>
              <w:t xml:space="preserve">cez tlak na </w:t>
            </w:r>
            <w:r w:rsidRPr="00DA083C">
              <w:rPr>
                <w:sz w:val="16"/>
                <w:szCs w:val="16"/>
              </w:rPr>
              <w:t xml:space="preserve">politikov na ich dodatočné zvyšovanie (na úkor ostatných dôchodcov a poistencov). </w:t>
            </w:r>
          </w:p>
          <w:p w14:paraId="48DC11E8" w14:textId="77777777" w:rsidR="00933963" w:rsidRPr="00DA083C" w:rsidRDefault="00933963" w:rsidP="00933963">
            <w:pPr>
              <w:jc w:val="both"/>
              <w:rPr>
                <w:sz w:val="16"/>
                <w:szCs w:val="16"/>
                <w:highlight w:val="yellow"/>
              </w:rPr>
            </w:pPr>
          </w:p>
        </w:tc>
        <w:tc>
          <w:tcPr>
            <w:tcW w:w="855" w:type="dxa"/>
            <w:vAlign w:val="center"/>
          </w:tcPr>
          <w:p w14:paraId="3DA7D9E2" w14:textId="55260D46" w:rsidR="00933963" w:rsidRPr="00DA083C" w:rsidRDefault="001E7AD2" w:rsidP="00933963">
            <w:pPr>
              <w:jc w:val="center"/>
              <w:rPr>
                <w:sz w:val="16"/>
                <w:szCs w:val="16"/>
              </w:rPr>
            </w:pPr>
            <w:r w:rsidRPr="00DA083C">
              <w:rPr>
                <w:sz w:val="16"/>
                <w:szCs w:val="16"/>
              </w:rPr>
              <w:t>obyčajná</w:t>
            </w:r>
          </w:p>
        </w:tc>
      </w:tr>
      <w:tr w:rsidR="00933963" w:rsidRPr="00DA083C" w14:paraId="3B099BA9" w14:textId="77777777" w:rsidTr="001003B1">
        <w:trPr>
          <w:trHeight w:val="468"/>
          <w:jc w:val="center"/>
        </w:trPr>
        <w:tc>
          <w:tcPr>
            <w:tcW w:w="805" w:type="dxa"/>
            <w:vAlign w:val="center"/>
          </w:tcPr>
          <w:p w14:paraId="21173614" w14:textId="4FBC72C2" w:rsidR="00933963" w:rsidRPr="00DA083C" w:rsidRDefault="00933963" w:rsidP="00933963">
            <w:pPr>
              <w:rPr>
                <w:sz w:val="16"/>
                <w:szCs w:val="16"/>
              </w:rPr>
            </w:pPr>
            <w:r w:rsidRPr="00DA083C">
              <w:rPr>
                <w:sz w:val="16"/>
                <w:szCs w:val="16"/>
              </w:rPr>
              <w:t>KRRZ</w:t>
            </w:r>
          </w:p>
        </w:tc>
        <w:tc>
          <w:tcPr>
            <w:tcW w:w="1033" w:type="dxa"/>
            <w:vAlign w:val="center"/>
          </w:tcPr>
          <w:p w14:paraId="12824F65" w14:textId="5C1DD548" w:rsidR="00933963" w:rsidRPr="00DA083C" w:rsidRDefault="00933963" w:rsidP="00933963">
            <w:pPr>
              <w:jc w:val="center"/>
              <w:rPr>
                <w:sz w:val="16"/>
                <w:szCs w:val="16"/>
              </w:rPr>
            </w:pPr>
            <w:r w:rsidRPr="00DA083C">
              <w:rPr>
                <w:sz w:val="16"/>
                <w:szCs w:val="16"/>
              </w:rPr>
              <w:t>Doložka vplyvov na rozpočet VS</w:t>
            </w:r>
          </w:p>
        </w:tc>
        <w:tc>
          <w:tcPr>
            <w:tcW w:w="6946" w:type="dxa"/>
            <w:vAlign w:val="center"/>
          </w:tcPr>
          <w:p w14:paraId="3DB33ADB" w14:textId="77777777" w:rsidR="00F02BA0" w:rsidRPr="00DA083C" w:rsidRDefault="00F02BA0" w:rsidP="00933963">
            <w:pPr>
              <w:jc w:val="both"/>
              <w:rPr>
                <w:b/>
                <w:bCs/>
                <w:sz w:val="16"/>
                <w:szCs w:val="16"/>
              </w:rPr>
            </w:pPr>
          </w:p>
          <w:p w14:paraId="4CA7C49F" w14:textId="1BA3A4FD" w:rsidR="00933963" w:rsidRPr="00DA083C" w:rsidRDefault="000360B7" w:rsidP="00933963">
            <w:pPr>
              <w:jc w:val="both"/>
              <w:rPr>
                <w:sz w:val="16"/>
                <w:szCs w:val="16"/>
              </w:rPr>
            </w:pPr>
            <w:r w:rsidRPr="00DA083C">
              <w:rPr>
                <w:b/>
                <w:bCs/>
                <w:sz w:val="16"/>
                <w:szCs w:val="16"/>
              </w:rPr>
              <w:t>D</w:t>
            </w:r>
            <w:r w:rsidR="00F02BA0" w:rsidRPr="00DA083C">
              <w:rPr>
                <w:b/>
                <w:bCs/>
                <w:sz w:val="16"/>
                <w:szCs w:val="16"/>
              </w:rPr>
              <w:t xml:space="preserve">oložka </w:t>
            </w:r>
            <w:r w:rsidR="00933963" w:rsidRPr="00DA083C">
              <w:rPr>
                <w:b/>
                <w:bCs/>
                <w:sz w:val="16"/>
                <w:szCs w:val="16"/>
              </w:rPr>
              <w:t xml:space="preserve">vplyvov na rozpočet </w:t>
            </w:r>
            <w:r w:rsidR="00F02BA0" w:rsidRPr="00DA083C">
              <w:rPr>
                <w:b/>
                <w:bCs/>
                <w:sz w:val="16"/>
                <w:szCs w:val="16"/>
              </w:rPr>
              <w:t xml:space="preserve">neuvádza </w:t>
            </w:r>
            <w:r w:rsidR="00933963" w:rsidRPr="00DA083C">
              <w:rPr>
                <w:b/>
                <w:bCs/>
                <w:sz w:val="16"/>
                <w:szCs w:val="16"/>
              </w:rPr>
              <w:t xml:space="preserve">zdroj krytia </w:t>
            </w:r>
            <w:r w:rsidR="00E236AA" w:rsidRPr="00DA083C">
              <w:rPr>
                <w:b/>
                <w:bCs/>
                <w:sz w:val="16"/>
                <w:szCs w:val="16"/>
              </w:rPr>
              <w:t>zvýšených výdavkov</w:t>
            </w:r>
            <w:r w:rsidR="00933963" w:rsidRPr="00DA083C">
              <w:rPr>
                <w:b/>
                <w:bCs/>
                <w:sz w:val="16"/>
                <w:szCs w:val="16"/>
              </w:rPr>
              <w:t xml:space="preserve"> verejn</w:t>
            </w:r>
            <w:r w:rsidR="00E236AA" w:rsidRPr="00DA083C">
              <w:rPr>
                <w:b/>
                <w:bCs/>
                <w:sz w:val="16"/>
                <w:szCs w:val="16"/>
              </w:rPr>
              <w:t>ej správy</w:t>
            </w:r>
            <w:r w:rsidR="00F02BA0" w:rsidRPr="00DA083C">
              <w:rPr>
                <w:b/>
                <w:bCs/>
                <w:sz w:val="16"/>
                <w:szCs w:val="16"/>
              </w:rPr>
              <w:t>,</w:t>
            </w:r>
            <w:r w:rsidR="00F02BA0" w:rsidRPr="00DA083C">
              <w:rPr>
                <w:sz w:val="16"/>
                <w:szCs w:val="16"/>
              </w:rPr>
              <w:t xml:space="preserve"> a teda nie je </w:t>
            </w:r>
            <w:r w:rsidR="00933963" w:rsidRPr="00DA083C">
              <w:rPr>
                <w:sz w:val="16"/>
                <w:szCs w:val="16"/>
              </w:rPr>
              <w:t>v súlade s požiadavkou § 33 zákona č. 523/2004 o rozpočtových pravidlách verejnej správy.</w:t>
            </w:r>
            <w:r w:rsidR="00E236AA" w:rsidRPr="00DA083C">
              <w:rPr>
                <w:sz w:val="16"/>
                <w:szCs w:val="16"/>
              </w:rPr>
              <w:t xml:space="preserve"> </w:t>
            </w:r>
            <w:r w:rsidR="0035468D" w:rsidRPr="00DA083C">
              <w:rPr>
                <w:sz w:val="16"/>
                <w:szCs w:val="16"/>
              </w:rPr>
              <w:t>Z</w:t>
            </w:r>
            <w:r w:rsidR="00E236AA" w:rsidRPr="00DA083C">
              <w:rPr>
                <w:sz w:val="16"/>
                <w:szCs w:val="16"/>
              </w:rPr>
              <w:t xml:space="preserve">horšenie salda verejnej správy o 0,5% HDP </w:t>
            </w:r>
            <w:r w:rsidR="0035468D" w:rsidRPr="00DA083C">
              <w:rPr>
                <w:sz w:val="16"/>
                <w:szCs w:val="16"/>
              </w:rPr>
              <w:t>od roku 2023</w:t>
            </w:r>
            <w:r w:rsidRPr="00DA083C">
              <w:rPr>
                <w:sz w:val="16"/>
                <w:szCs w:val="16"/>
              </w:rPr>
              <w:t>,</w:t>
            </w:r>
            <w:r w:rsidR="0035468D" w:rsidRPr="00DA083C">
              <w:rPr>
                <w:sz w:val="16"/>
                <w:szCs w:val="16"/>
              </w:rPr>
              <w:t xml:space="preserve"> t.j. od roku, v ktorom</w:t>
            </w:r>
            <w:r w:rsidRPr="00DA083C">
              <w:rPr>
                <w:sz w:val="16"/>
                <w:szCs w:val="16"/>
              </w:rPr>
              <w:t xml:space="preserve"> sa vláda SR zaviazala k</w:t>
            </w:r>
            <w:r w:rsidR="0035468D" w:rsidRPr="00DA083C">
              <w:rPr>
                <w:sz w:val="16"/>
                <w:szCs w:val="16"/>
              </w:rPr>
              <w:t xml:space="preserve"> začatiu</w:t>
            </w:r>
            <w:r w:rsidRPr="00DA083C">
              <w:rPr>
                <w:sz w:val="16"/>
                <w:szCs w:val="16"/>
              </w:rPr>
              <w:t xml:space="preserve"> pokrízové</w:t>
            </w:r>
            <w:r w:rsidR="0035468D" w:rsidRPr="00DA083C">
              <w:rPr>
                <w:sz w:val="16"/>
                <w:szCs w:val="16"/>
              </w:rPr>
              <w:t>ho</w:t>
            </w:r>
            <w:r w:rsidRPr="00DA083C">
              <w:rPr>
                <w:sz w:val="16"/>
                <w:szCs w:val="16"/>
              </w:rPr>
              <w:t xml:space="preserve"> ozdraveni</w:t>
            </w:r>
            <w:r w:rsidR="0035468D" w:rsidRPr="00DA083C">
              <w:rPr>
                <w:sz w:val="16"/>
                <w:szCs w:val="16"/>
              </w:rPr>
              <w:t>a</w:t>
            </w:r>
            <w:r w:rsidRPr="00DA083C">
              <w:rPr>
                <w:sz w:val="16"/>
                <w:szCs w:val="16"/>
              </w:rPr>
              <w:t xml:space="preserve"> verejných financií</w:t>
            </w:r>
            <w:r w:rsidR="0035468D" w:rsidRPr="00DA083C">
              <w:rPr>
                <w:sz w:val="16"/>
                <w:szCs w:val="16"/>
              </w:rPr>
              <w:t>,</w:t>
            </w:r>
            <w:r w:rsidR="00E236AA" w:rsidRPr="00DA083C">
              <w:rPr>
                <w:sz w:val="16"/>
                <w:szCs w:val="16"/>
              </w:rPr>
              <w:t xml:space="preserve"> </w:t>
            </w:r>
            <w:r w:rsidR="00553A73" w:rsidRPr="00DA083C">
              <w:rPr>
                <w:sz w:val="16"/>
                <w:szCs w:val="16"/>
              </w:rPr>
              <w:t>prispieva k</w:t>
            </w:r>
            <w:r w:rsidR="00E236AA" w:rsidRPr="00DA083C">
              <w:rPr>
                <w:sz w:val="16"/>
                <w:szCs w:val="16"/>
              </w:rPr>
              <w:t xml:space="preserve"> </w:t>
            </w:r>
            <w:r w:rsidR="0035468D" w:rsidRPr="00DA083C">
              <w:rPr>
                <w:sz w:val="16"/>
                <w:szCs w:val="16"/>
              </w:rPr>
              <w:t>zníženiu</w:t>
            </w:r>
            <w:r w:rsidR="00E236AA" w:rsidRPr="00DA083C">
              <w:rPr>
                <w:sz w:val="16"/>
                <w:szCs w:val="16"/>
              </w:rPr>
              <w:t xml:space="preserve"> kredibilit</w:t>
            </w:r>
            <w:r w:rsidR="00553A73" w:rsidRPr="00DA083C">
              <w:rPr>
                <w:sz w:val="16"/>
                <w:szCs w:val="16"/>
              </w:rPr>
              <w:t xml:space="preserve">y </w:t>
            </w:r>
            <w:r w:rsidR="00E236AA" w:rsidRPr="00DA083C">
              <w:rPr>
                <w:sz w:val="16"/>
                <w:szCs w:val="16"/>
              </w:rPr>
              <w:t xml:space="preserve">vládnych </w:t>
            </w:r>
            <w:r w:rsidR="00553A73" w:rsidRPr="00DA083C">
              <w:rPr>
                <w:sz w:val="16"/>
                <w:szCs w:val="16"/>
              </w:rPr>
              <w:t xml:space="preserve">konsolidačných </w:t>
            </w:r>
            <w:r w:rsidR="00E236AA" w:rsidRPr="00DA083C">
              <w:rPr>
                <w:sz w:val="16"/>
                <w:szCs w:val="16"/>
              </w:rPr>
              <w:t>záväzko</w:t>
            </w:r>
            <w:r w:rsidR="00553A73" w:rsidRPr="00DA083C">
              <w:rPr>
                <w:sz w:val="16"/>
                <w:szCs w:val="16"/>
              </w:rPr>
              <w:t>v</w:t>
            </w:r>
            <w:r w:rsidR="00E236AA" w:rsidRPr="00DA083C">
              <w:rPr>
                <w:sz w:val="16"/>
                <w:szCs w:val="16"/>
              </w:rPr>
              <w:t xml:space="preserve">. </w:t>
            </w:r>
          </w:p>
          <w:p w14:paraId="334F0310" w14:textId="7BAB815C" w:rsidR="00933963" w:rsidRPr="00DA083C" w:rsidRDefault="00933963" w:rsidP="00933963">
            <w:pPr>
              <w:jc w:val="both"/>
              <w:rPr>
                <w:sz w:val="16"/>
                <w:szCs w:val="16"/>
              </w:rPr>
            </w:pPr>
          </w:p>
          <w:p w14:paraId="23EDBD64" w14:textId="10AD4437" w:rsidR="00933963" w:rsidRPr="00DA083C" w:rsidRDefault="00933963" w:rsidP="00933963">
            <w:pPr>
              <w:jc w:val="both"/>
              <w:rPr>
                <w:sz w:val="16"/>
                <w:szCs w:val="16"/>
              </w:rPr>
            </w:pPr>
            <w:r w:rsidRPr="00DA083C">
              <w:rPr>
                <w:sz w:val="16"/>
                <w:szCs w:val="16"/>
              </w:rPr>
              <w:t>Zdôvodnenie: RRZ vo svojej správe z júna 2021 hodnotila záväzok vlády v Programe stability SR pre znižovanie deficitu a konsolidácie verejných financií najmä v rokoch 2023 a 2024 ako nepostačujúci</w:t>
            </w:r>
            <w:r w:rsidR="00086D20" w:rsidRPr="00DA083C">
              <w:rPr>
                <w:sz w:val="16"/>
                <w:szCs w:val="16"/>
              </w:rPr>
              <w:t>.</w:t>
            </w:r>
            <w:r w:rsidRPr="00DA083C">
              <w:rPr>
                <w:sz w:val="16"/>
                <w:szCs w:val="16"/>
              </w:rPr>
              <w:t xml:space="preserve"> </w:t>
            </w:r>
            <w:r w:rsidR="00086D20" w:rsidRPr="00DA083C">
              <w:rPr>
                <w:sz w:val="16"/>
                <w:szCs w:val="16"/>
              </w:rPr>
              <w:t>C</w:t>
            </w:r>
            <w:r w:rsidRPr="00DA083C">
              <w:rPr>
                <w:sz w:val="16"/>
                <w:szCs w:val="16"/>
              </w:rPr>
              <w:t xml:space="preserve">ielený deficit na </w:t>
            </w:r>
            <w:r w:rsidR="00086D20" w:rsidRPr="00DA083C">
              <w:rPr>
                <w:sz w:val="16"/>
                <w:szCs w:val="16"/>
              </w:rPr>
              <w:t>rok 2024 si vláda stanovila</w:t>
            </w:r>
            <w:r w:rsidRPr="00DA083C">
              <w:rPr>
                <w:sz w:val="16"/>
                <w:szCs w:val="16"/>
              </w:rPr>
              <w:t xml:space="preserve"> na úrovni 3,8</w:t>
            </w:r>
            <w:r w:rsidR="00B728C1" w:rsidRPr="00DA083C">
              <w:rPr>
                <w:sz w:val="16"/>
                <w:szCs w:val="16"/>
              </w:rPr>
              <w:t xml:space="preserve"> </w:t>
            </w:r>
            <w:r w:rsidRPr="00DA083C">
              <w:rPr>
                <w:sz w:val="16"/>
                <w:szCs w:val="16"/>
              </w:rPr>
              <w:t>% HDP</w:t>
            </w:r>
            <w:r w:rsidR="00086D20" w:rsidRPr="00DA083C">
              <w:rPr>
                <w:sz w:val="16"/>
                <w:szCs w:val="16"/>
              </w:rPr>
              <w:t xml:space="preserve">, pričom na jeho dosiahnutie </w:t>
            </w:r>
            <w:r w:rsidR="00B728C1" w:rsidRPr="00DA083C">
              <w:rPr>
                <w:sz w:val="16"/>
                <w:szCs w:val="16"/>
              </w:rPr>
              <w:t xml:space="preserve">jej </w:t>
            </w:r>
            <w:r w:rsidR="00086D20" w:rsidRPr="00DA083C">
              <w:rPr>
                <w:sz w:val="16"/>
                <w:szCs w:val="16"/>
              </w:rPr>
              <w:t>chýbali konsolidačné opatrenia vo výške 0,7 % HDP</w:t>
            </w:r>
            <w:r w:rsidRPr="00DA083C">
              <w:rPr>
                <w:sz w:val="16"/>
                <w:szCs w:val="16"/>
              </w:rPr>
              <w:t>.</w:t>
            </w:r>
            <w:r w:rsidR="00086D20" w:rsidRPr="00DA083C">
              <w:rPr>
                <w:sz w:val="16"/>
                <w:szCs w:val="16"/>
              </w:rPr>
              <w:t xml:space="preserve"> Opatrenia v navrhovanom zákone by veľkosť chýbajúcich opatrení ešte viac prehĺbili</w:t>
            </w:r>
            <w:r w:rsidR="00276536" w:rsidRPr="00DA083C">
              <w:rPr>
                <w:sz w:val="16"/>
                <w:szCs w:val="16"/>
              </w:rPr>
              <w:t xml:space="preserve"> a</w:t>
            </w:r>
            <w:r w:rsidR="00492207" w:rsidRPr="00DA083C">
              <w:rPr>
                <w:sz w:val="16"/>
                <w:szCs w:val="16"/>
              </w:rPr>
              <w:t xml:space="preserve"> </w:t>
            </w:r>
            <w:r w:rsidR="00276536" w:rsidRPr="00DA083C">
              <w:rPr>
                <w:sz w:val="16"/>
                <w:szCs w:val="16"/>
              </w:rPr>
              <w:t>výrazne spomalili tempo</w:t>
            </w:r>
            <w:r w:rsidR="00547ABC" w:rsidRPr="00DA083C">
              <w:rPr>
                <w:sz w:val="16"/>
                <w:szCs w:val="16"/>
              </w:rPr>
              <w:t xml:space="preserve"> znižovania dlhu aktuálne</w:t>
            </w:r>
            <w:r w:rsidR="00E72921" w:rsidRPr="00DA083C">
              <w:rPr>
                <w:sz w:val="16"/>
                <w:szCs w:val="16"/>
              </w:rPr>
              <w:t xml:space="preserve"> presahujúc</w:t>
            </w:r>
            <w:r w:rsidR="008416A1" w:rsidRPr="00DA083C">
              <w:rPr>
                <w:sz w:val="16"/>
                <w:szCs w:val="16"/>
              </w:rPr>
              <w:t>eho</w:t>
            </w:r>
            <w:r w:rsidR="00E72921" w:rsidRPr="00DA083C">
              <w:rPr>
                <w:sz w:val="16"/>
                <w:szCs w:val="16"/>
              </w:rPr>
              <w:t xml:space="preserve"> horný limit </w:t>
            </w:r>
            <w:r w:rsidR="00236D88" w:rsidRPr="00DA083C">
              <w:rPr>
                <w:sz w:val="16"/>
                <w:szCs w:val="16"/>
              </w:rPr>
              <w:t xml:space="preserve">podľa Ústavného zákona č. 493/2011 Z.z. o rozpočtovej </w:t>
            </w:r>
            <w:r w:rsidR="00A61CCD" w:rsidRPr="00DA083C">
              <w:rPr>
                <w:sz w:val="16"/>
                <w:szCs w:val="16"/>
              </w:rPr>
              <w:t>zodpovednosti</w:t>
            </w:r>
            <w:r w:rsidR="00236D88" w:rsidRPr="00DA083C">
              <w:rPr>
                <w:sz w:val="16"/>
                <w:szCs w:val="16"/>
              </w:rPr>
              <w:t>, tzv. dlhovej brzdy</w:t>
            </w:r>
            <w:r w:rsidR="00086D20" w:rsidRPr="00DA083C">
              <w:rPr>
                <w:sz w:val="16"/>
                <w:szCs w:val="16"/>
              </w:rPr>
              <w:t>.</w:t>
            </w:r>
            <w:r w:rsidRPr="00DA083C">
              <w:rPr>
                <w:sz w:val="16"/>
                <w:szCs w:val="16"/>
              </w:rPr>
              <w:t xml:space="preserve"> </w:t>
            </w:r>
            <w:r w:rsidR="004116E9" w:rsidRPr="00DA083C">
              <w:rPr>
                <w:sz w:val="16"/>
                <w:szCs w:val="16"/>
              </w:rPr>
              <w:t>Navyše,</w:t>
            </w:r>
            <w:r w:rsidRPr="00DA083C">
              <w:rPr>
                <w:sz w:val="16"/>
                <w:szCs w:val="16"/>
              </w:rPr>
              <w:t xml:space="preserve"> z pohľadu politického cyklu je kumulovanie snahy o konsolidáciu verejných financií na jeho koniec málo kredibilné. Podľa doložky vplyvov má navrhovaný zákon negatívny dopad na saldo verejnej správy vo výške 0,5% HDP v roku 2023 a 0,52% HDP v roku 2024 (tabuľka č.1 v bode 2.1). Predkladateľ zároveň uvádza (v časti 2.1.1. Financovanie návrhu): „Zvýšenie výdavkov v rokoch 2023 a 2024 navrhujeme riešiť navýšením transferu zo štátneho rozpočtu, ktorý slúži na krytie deficitu v základnom fonde starobného poistenia“.</w:t>
            </w:r>
            <w:r w:rsidR="00B83A66" w:rsidRPr="00DA083C">
              <w:rPr>
                <w:sz w:val="16"/>
                <w:szCs w:val="16"/>
              </w:rPr>
              <w:t xml:space="preserve"> </w:t>
            </w:r>
            <w:r w:rsidRPr="00DA083C">
              <w:rPr>
                <w:sz w:val="16"/>
                <w:szCs w:val="16"/>
              </w:rPr>
              <w:t xml:space="preserve">Uvedený spôsob krytia navrhnutý predkladateľom, nie je podľa názoru KRRZ v súlade s požiadavkou § 33 zákona č. 523/2004 o rozpočtových pravidlách verejnej správy, ktorý požaduje uviesť krytie zvýšených výdavkov pre celý okruh verejnej správy. </w:t>
            </w:r>
          </w:p>
          <w:p w14:paraId="2C2C9D06" w14:textId="015E9102" w:rsidR="00933963" w:rsidRPr="00DA083C" w:rsidRDefault="00933963" w:rsidP="00933963">
            <w:pPr>
              <w:jc w:val="both"/>
              <w:rPr>
                <w:sz w:val="16"/>
                <w:szCs w:val="16"/>
              </w:rPr>
            </w:pPr>
          </w:p>
        </w:tc>
        <w:tc>
          <w:tcPr>
            <w:tcW w:w="855" w:type="dxa"/>
            <w:vAlign w:val="center"/>
          </w:tcPr>
          <w:p w14:paraId="4690C606" w14:textId="066F4CA3" w:rsidR="00933963" w:rsidRPr="00DA083C" w:rsidRDefault="00714198" w:rsidP="00933963">
            <w:pPr>
              <w:jc w:val="center"/>
              <w:rPr>
                <w:sz w:val="16"/>
                <w:szCs w:val="16"/>
              </w:rPr>
            </w:pPr>
            <w:r w:rsidRPr="00DA083C">
              <w:rPr>
                <w:sz w:val="16"/>
                <w:szCs w:val="16"/>
              </w:rPr>
              <w:lastRenderedPageBreak/>
              <w:t>zásadná</w:t>
            </w:r>
          </w:p>
        </w:tc>
      </w:tr>
      <w:tr w:rsidR="00933963" w:rsidRPr="00DA083C" w14:paraId="03D89275" w14:textId="77777777" w:rsidTr="001003B1">
        <w:trPr>
          <w:trHeight w:val="468"/>
          <w:jc w:val="center"/>
        </w:trPr>
        <w:tc>
          <w:tcPr>
            <w:tcW w:w="805" w:type="dxa"/>
            <w:vAlign w:val="center"/>
          </w:tcPr>
          <w:p w14:paraId="17B346D0" w14:textId="4A0D2226" w:rsidR="00933963" w:rsidRPr="00DA083C" w:rsidRDefault="00933963" w:rsidP="00933963">
            <w:pPr>
              <w:rPr>
                <w:sz w:val="16"/>
                <w:szCs w:val="16"/>
              </w:rPr>
            </w:pPr>
            <w:r w:rsidRPr="00DA083C">
              <w:rPr>
                <w:sz w:val="16"/>
                <w:szCs w:val="16"/>
              </w:rPr>
              <w:t>KRRZ</w:t>
            </w:r>
          </w:p>
        </w:tc>
        <w:tc>
          <w:tcPr>
            <w:tcW w:w="1033" w:type="dxa"/>
            <w:vAlign w:val="center"/>
          </w:tcPr>
          <w:p w14:paraId="53B04937" w14:textId="500538D9" w:rsidR="00933963" w:rsidRPr="00DA083C" w:rsidRDefault="00933963" w:rsidP="00933963">
            <w:pPr>
              <w:jc w:val="center"/>
              <w:rPr>
                <w:sz w:val="16"/>
                <w:szCs w:val="16"/>
              </w:rPr>
            </w:pPr>
            <w:r w:rsidRPr="00DA083C">
              <w:rPr>
                <w:sz w:val="16"/>
                <w:szCs w:val="16"/>
              </w:rPr>
              <w:t>Čl. I Bod 26</w:t>
            </w:r>
            <w:r w:rsidR="007C6C14" w:rsidRPr="00DA083C">
              <w:rPr>
                <w:sz w:val="16"/>
                <w:szCs w:val="16"/>
              </w:rPr>
              <w:t xml:space="preserve"> a 27</w:t>
            </w:r>
          </w:p>
        </w:tc>
        <w:tc>
          <w:tcPr>
            <w:tcW w:w="6946" w:type="dxa"/>
            <w:vAlign w:val="center"/>
          </w:tcPr>
          <w:p w14:paraId="5B24F323" w14:textId="77777777" w:rsidR="004F6182" w:rsidRPr="00DA083C" w:rsidRDefault="004F6182" w:rsidP="00933963">
            <w:pPr>
              <w:jc w:val="both"/>
              <w:rPr>
                <w:b/>
                <w:bCs/>
                <w:sz w:val="16"/>
                <w:szCs w:val="16"/>
              </w:rPr>
            </w:pPr>
          </w:p>
          <w:p w14:paraId="47EA7703" w14:textId="7B0C5876" w:rsidR="004F6182" w:rsidRPr="00DA083C" w:rsidRDefault="004F6182" w:rsidP="00933963">
            <w:pPr>
              <w:jc w:val="both"/>
              <w:rPr>
                <w:b/>
                <w:bCs/>
                <w:sz w:val="16"/>
                <w:szCs w:val="16"/>
              </w:rPr>
            </w:pPr>
            <w:r w:rsidRPr="00DA083C">
              <w:rPr>
                <w:sz w:val="16"/>
                <w:szCs w:val="16"/>
              </w:rPr>
              <w:t xml:space="preserve">KRRZ upozorňuje na fakt, že </w:t>
            </w:r>
            <w:r w:rsidRPr="00DA083C">
              <w:rPr>
                <w:b/>
                <w:bCs/>
                <w:sz w:val="16"/>
                <w:szCs w:val="16"/>
              </w:rPr>
              <w:t>zachovanie diferencovaného dôchodkového veku podľa počtu vychovaných detí je v rozpore so zámerom novely Ústavy SR</w:t>
            </w:r>
            <w:r w:rsidRPr="00DA083C">
              <w:rPr>
                <w:sz w:val="16"/>
                <w:szCs w:val="16"/>
              </w:rPr>
              <w:t xml:space="preserve"> (ústavný zákon č.422/2020 Z.z.), ktorý v odôvodnení (</w:t>
            </w:r>
            <w:hyperlink r:id="rId12" w:history="1">
              <w:r w:rsidRPr="00DA083C">
                <w:rPr>
                  <w:rStyle w:val="Hyperlink"/>
                  <w:sz w:val="16"/>
                  <w:szCs w:val="16"/>
                </w:rPr>
                <w:t>https://www.nrsr.sk/web/Dynamic/DocumentPreview.aspx?DocID=488513</w:t>
              </w:r>
            </w:hyperlink>
            <w:r w:rsidRPr="00DA083C">
              <w:rPr>
                <w:sz w:val="16"/>
                <w:szCs w:val="16"/>
              </w:rPr>
              <w:t>) predpokladal jednotný dôchodkový vek žien a</w:t>
            </w:r>
            <w:r w:rsidR="00AC6AF8" w:rsidRPr="00DA083C">
              <w:rPr>
                <w:sz w:val="16"/>
                <w:szCs w:val="16"/>
              </w:rPr>
              <w:t> </w:t>
            </w:r>
            <w:r w:rsidRPr="00DA083C">
              <w:rPr>
                <w:sz w:val="16"/>
                <w:szCs w:val="16"/>
              </w:rPr>
              <w:t>mužov</w:t>
            </w:r>
            <w:r w:rsidR="00AC6AF8" w:rsidRPr="00DA083C">
              <w:rPr>
                <w:sz w:val="16"/>
                <w:szCs w:val="16"/>
              </w:rPr>
              <w:t xml:space="preserve"> bez ohľadu na výchovu detí</w:t>
            </w:r>
            <w:r w:rsidRPr="00DA083C">
              <w:rPr>
                <w:sz w:val="16"/>
                <w:szCs w:val="16"/>
              </w:rPr>
              <w:t xml:space="preserve"> ako kompenzáciu za prijatie ústavného princípu, podľa ktorého sa pri výpočte starobného dôchodku nebudú znevýhodňovať rodičia, ktorý čerpali rodičovskú a materskú dovolenku. Navrhované zmeny v bode 26 a 27 majú za účel zachovať súčasný stav rozdielneho dôchodkového veku podľa počtu detí.</w:t>
            </w:r>
          </w:p>
          <w:p w14:paraId="428A43C5" w14:textId="77777777" w:rsidR="004F6182" w:rsidRPr="00DA083C" w:rsidRDefault="004F6182" w:rsidP="00933963">
            <w:pPr>
              <w:jc w:val="both"/>
              <w:rPr>
                <w:b/>
                <w:bCs/>
                <w:sz w:val="16"/>
                <w:szCs w:val="16"/>
              </w:rPr>
            </w:pPr>
          </w:p>
          <w:p w14:paraId="403BA4E2" w14:textId="4A0CADEF" w:rsidR="004F6182" w:rsidRPr="00DA083C" w:rsidRDefault="004F6182" w:rsidP="004F6182">
            <w:pPr>
              <w:jc w:val="both"/>
              <w:rPr>
                <w:sz w:val="16"/>
                <w:szCs w:val="16"/>
              </w:rPr>
            </w:pPr>
            <w:r w:rsidRPr="00DA083C">
              <w:rPr>
                <w:sz w:val="16"/>
                <w:szCs w:val="16"/>
              </w:rPr>
              <w:t>V prípade odstránenia toh</w:t>
            </w:r>
            <w:r w:rsidR="00C13191" w:rsidRPr="00DA083C">
              <w:rPr>
                <w:sz w:val="16"/>
                <w:szCs w:val="16"/>
              </w:rPr>
              <w:t>t</w:t>
            </w:r>
            <w:r w:rsidRPr="00DA083C">
              <w:rPr>
                <w:sz w:val="16"/>
                <w:szCs w:val="16"/>
              </w:rPr>
              <w:t xml:space="preserve">o nesúladu predkladateľom KRRZ </w:t>
            </w:r>
            <w:r w:rsidR="00C13191" w:rsidRPr="00DA083C">
              <w:rPr>
                <w:sz w:val="16"/>
                <w:szCs w:val="16"/>
              </w:rPr>
              <w:t xml:space="preserve">zároveň </w:t>
            </w:r>
            <w:r w:rsidRPr="00DA083C">
              <w:rPr>
                <w:sz w:val="16"/>
                <w:szCs w:val="16"/>
              </w:rPr>
              <w:t xml:space="preserve">poukazuje aj na potrebu úpravy </w:t>
            </w:r>
          </w:p>
          <w:p w14:paraId="5EBB37F3" w14:textId="027F3808" w:rsidR="00933963" w:rsidRPr="00DA083C" w:rsidRDefault="00933963" w:rsidP="00933963">
            <w:pPr>
              <w:jc w:val="both"/>
              <w:rPr>
                <w:sz w:val="16"/>
                <w:szCs w:val="16"/>
              </w:rPr>
            </w:pPr>
            <w:r w:rsidRPr="00DA083C">
              <w:rPr>
                <w:sz w:val="16"/>
                <w:szCs w:val="16"/>
              </w:rPr>
              <w:t>tabuľk</w:t>
            </w:r>
            <w:r w:rsidR="004F6182" w:rsidRPr="00DA083C">
              <w:rPr>
                <w:sz w:val="16"/>
                <w:szCs w:val="16"/>
              </w:rPr>
              <w:t>y</w:t>
            </w:r>
            <w:r w:rsidRPr="00DA083C">
              <w:rPr>
                <w:sz w:val="16"/>
                <w:szCs w:val="16"/>
              </w:rPr>
              <w:t xml:space="preserve"> s dôchodkovými vekmi v prílohe 3a v aktuálne platnom zákone č. 461/2003 (ktorú novela ponecháva nezmenenú) tak, aby ročník 1966 bol prvým ročníkom s dôchodkovým vekom zjednoteným na 64 rokov. Od ročníka 1967 (vrátane) navrhujeme uplatňovať navrhnutý automatický mechanizmus previazania dôchodkového veku na strednú dĺžku života.</w:t>
            </w:r>
          </w:p>
          <w:p w14:paraId="2CF5B0E7" w14:textId="65953FA7" w:rsidR="00933963" w:rsidRPr="00DA083C" w:rsidRDefault="00933963" w:rsidP="00933963">
            <w:pPr>
              <w:jc w:val="both"/>
              <w:rPr>
                <w:sz w:val="16"/>
                <w:szCs w:val="16"/>
              </w:rPr>
            </w:pPr>
          </w:p>
        </w:tc>
        <w:tc>
          <w:tcPr>
            <w:tcW w:w="855" w:type="dxa"/>
            <w:vAlign w:val="center"/>
          </w:tcPr>
          <w:p w14:paraId="6890534D" w14:textId="285AB4F9" w:rsidR="00933963" w:rsidRPr="00DA083C" w:rsidRDefault="00933963" w:rsidP="00933963">
            <w:pPr>
              <w:jc w:val="center"/>
              <w:rPr>
                <w:sz w:val="16"/>
                <w:szCs w:val="16"/>
              </w:rPr>
            </w:pPr>
            <w:r w:rsidRPr="00DA083C">
              <w:rPr>
                <w:sz w:val="16"/>
                <w:szCs w:val="16"/>
              </w:rPr>
              <w:t>zásadná</w:t>
            </w:r>
          </w:p>
        </w:tc>
      </w:tr>
      <w:tr w:rsidR="00C17943" w:rsidRPr="00DA083C" w14:paraId="54DA8183" w14:textId="77777777" w:rsidTr="001003B1">
        <w:trPr>
          <w:trHeight w:val="468"/>
          <w:jc w:val="center"/>
        </w:trPr>
        <w:tc>
          <w:tcPr>
            <w:tcW w:w="805" w:type="dxa"/>
            <w:vAlign w:val="center"/>
          </w:tcPr>
          <w:p w14:paraId="5C3DF239" w14:textId="0D0C982D" w:rsidR="00C17943" w:rsidRPr="00DA083C" w:rsidRDefault="00C17943" w:rsidP="00C17943">
            <w:pPr>
              <w:rPr>
                <w:sz w:val="16"/>
                <w:szCs w:val="16"/>
              </w:rPr>
            </w:pPr>
            <w:r w:rsidRPr="00DA083C">
              <w:rPr>
                <w:sz w:val="16"/>
                <w:szCs w:val="16"/>
              </w:rPr>
              <w:t>KRRZ</w:t>
            </w:r>
          </w:p>
        </w:tc>
        <w:tc>
          <w:tcPr>
            <w:tcW w:w="1033" w:type="dxa"/>
            <w:vAlign w:val="center"/>
          </w:tcPr>
          <w:p w14:paraId="4F82536A" w14:textId="7EA07F8C" w:rsidR="00C17943" w:rsidRPr="00DA083C" w:rsidRDefault="00C17943" w:rsidP="00C17943">
            <w:pPr>
              <w:jc w:val="center"/>
              <w:rPr>
                <w:sz w:val="16"/>
                <w:szCs w:val="16"/>
              </w:rPr>
            </w:pPr>
            <w:r w:rsidRPr="00DA083C">
              <w:rPr>
                <w:sz w:val="16"/>
                <w:szCs w:val="16"/>
              </w:rPr>
              <w:t>Čl. I Bod 26</w:t>
            </w:r>
          </w:p>
        </w:tc>
        <w:tc>
          <w:tcPr>
            <w:tcW w:w="6946" w:type="dxa"/>
            <w:vAlign w:val="center"/>
          </w:tcPr>
          <w:p w14:paraId="55C6FA20" w14:textId="5BEEE97F" w:rsidR="00C17943" w:rsidRPr="00DA083C" w:rsidRDefault="0091643A" w:rsidP="00C17943">
            <w:pPr>
              <w:jc w:val="both"/>
              <w:rPr>
                <w:sz w:val="16"/>
                <w:szCs w:val="16"/>
              </w:rPr>
            </w:pPr>
            <w:r w:rsidRPr="00DA083C">
              <w:rPr>
                <w:sz w:val="16"/>
                <w:szCs w:val="16"/>
              </w:rPr>
              <w:t>Návrh zákona ponecháva v súvislosti s dôchodkovým vekom pojem jeho „</w:t>
            </w:r>
            <w:r w:rsidRPr="00DA083C">
              <w:rPr>
                <w:b/>
                <w:bCs/>
                <w:sz w:val="16"/>
                <w:szCs w:val="16"/>
              </w:rPr>
              <w:t>dov</w:t>
            </w:r>
            <w:r w:rsidR="00532F47" w:rsidRPr="00DA083C">
              <w:rPr>
                <w:b/>
                <w:bCs/>
                <w:sz w:val="16"/>
                <w:szCs w:val="16"/>
              </w:rPr>
              <w:t>ŕ</w:t>
            </w:r>
            <w:r w:rsidRPr="00DA083C">
              <w:rPr>
                <w:b/>
                <w:bCs/>
                <w:sz w:val="16"/>
                <w:szCs w:val="16"/>
              </w:rPr>
              <w:t>š</w:t>
            </w:r>
            <w:r w:rsidR="00532F47" w:rsidRPr="00DA083C">
              <w:rPr>
                <w:b/>
                <w:bCs/>
                <w:sz w:val="16"/>
                <w:szCs w:val="16"/>
              </w:rPr>
              <w:t>enia</w:t>
            </w:r>
            <w:r w:rsidRPr="00DA083C">
              <w:rPr>
                <w:sz w:val="16"/>
                <w:szCs w:val="16"/>
              </w:rPr>
              <w:t xml:space="preserve">“ (napr. v § 65 ods. 1). Novelou Ústavy </w:t>
            </w:r>
            <w:r w:rsidR="007E01EE" w:rsidRPr="00DA083C">
              <w:rPr>
                <w:sz w:val="16"/>
                <w:szCs w:val="16"/>
              </w:rPr>
              <w:t xml:space="preserve">ústavným zákonom č. 422/2020 Z.z. </w:t>
            </w:r>
            <w:r w:rsidRPr="00DA083C">
              <w:rPr>
                <w:sz w:val="16"/>
                <w:szCs w:val="16"/>
              </w:rPr>
              <w:t>z </w:t>
            </w:r>
            <w:r w:rsidR="007E01EE" w:rsidRPr="00DA083C">
              <w:rPr>
                <w:sz w:val="16"/>
                <w:szCs w:val="16"/>
              </w:rPr>
              <w:t>09</w:t>
            </w:r>
            <w:r w:rsidRPr="00DA083C">
              <w:rPr>
                <w:sz w:val="16"/>
                <w:szCs w:val="16"/>
              </w:rPr>
              <w:t>.</w:t>
            </w:r>
            <w:r w:rsidR="007E01EE" w:rsidRPr="00DA083C">
              <w:rPr>
                <w:sz w:val="16"/>
                <w:szCs w:val="16"/>
              </w:rPr>
              <w:t>12</w:t>
            </w:r>
            <w:r w:rsidRPr="00DA083C">
              <w:rPr>
                <w:sz w:val="16"/>
                <w:szCs w:val="16"/>
              </w:rPr>
              <w:t>.</w:t>
            </w:r>
            <w:r w:rsidR="007E01EE" w:rsidRPr="00DA083C">
              <w:rPr>
                <w:sz w:val="16"/>
                <w:szCs w:val="16"/>
              </w:rPr>
              <w:t>2020</w:t>
            </w:r>
            <w:r w:rsidRPr="00DA083C">
              <w:rPr>
                <w:sz w:val="16"/>
                <w:szCs w:val="16"/>
              </w:rPr>
              <w:t xml:space="preserve"> bol zavedený pojem „</w:t>
            </w:r>
            <w:r w:rsidRPr="00DA083C">
              <w:rPr>
                <w:b/>
                <w:bCs/>
                <w:sz w:val="16"/>
                <w:szCs w:val="16"/>
              </w:rPr>
              <w:t>dosahovania</w:t>
            </w:r>
            <w:r w:rsidRPr="00DA083C">
              <w:rPr>
                <w:sz w:val="16"/>
                <w:szCs w:val="16"/>
              </w:rPr>
              <w:t xml:space="preserve">“ veku. </w:t>
            </w:r>
            <w:r w:rsidR="00503F6B" w:rsidRPr="00DA083C">
              <w:rPr>
                <w:sz w:val="16"/>
                <w:szCs w:val="16"/>
              </w:rPr>
              <w:t>KRRZ na</w:t>
            </w:r>
            <w:r w:rsidR="00532F47" w:rsidRPr="00DA083C">
              <w:rPr>
                <w:sz w:val="16"/>
                <w:szCs w:val="16"/>
              </w:rPr>
              <w:t>vrhuje tento problém odstrániť zjednotením pojmov</w:t>
            </w:r>
            <w:r w:rsidR="004B4D57" w:rsidRPr="00DA083C">
              <w:rPr>
                <w:sz w:val="16"/>
                <w:szCs w:val="16"/>
              </w:rPr>
              <w:t xml:space="preserve"> v celom zákone</w:t>
            </w:r>
            <w:r w:rsidR="00532F47" w:rsidRPr="00DA083C">
              <w:rPr>
                <w:sz w:val="16"/>
                <w:szCs w:val="16"/>
              </w:rPr>
              <w:t>. Ak ide o</w:t>
            </w:r>
            <w:r w:rsidR="004B4D57" w:rsidRPr="00DA083C">
              <w:rPr>
                <w:sz w:val="16"/>
                <w:szCs w:val="16"/>
              </w:rPr>
              <w:t xml:space="preserve"> vecne </w:t>
            </w:r>
            <w:r w:rsidR="00532F47" w:rsidRPr="00DA083C">
              <w:rPr>
                <w:sz w:val="16"/>
                <w:szCs w:val="16"/>
              </w:rPr>
              <w:t xml:space="preserve">rôzne </w:t>
            </w:r>
            <w:r w:rsidR="004B4D57" w:rsidRPr="00DA083C">
              <w:rPr>
                <w:sz w:val="16"/>
                <w:szCs w:val="16"/>
              </w:rPr>
              <w:t>pojmy</w:t>
            </w:r>
            <w:r w:rsidR="00532F47" w:rsidRPr="00DA083C">
              <w:rPr>
                <w:sz w:val="16"/>
                <w:szCs w:val="16"/>
              </w:rPr>
              <w:t>, je nutné ich v návrhu zákona popísať a jasne odlíšiť.</w:t>
            </w:r>
          </w:p>
        </w:tc>
        <w:tc>
          <w:tcPr>
            <w:tcW w:w="855" w:type="dxa"/>
            <w:vAlign w:val="center"/>
          </w:tcPr>
          <w:p w14:paraId="4D7677B0" w14:textId="0565011D" w:rsidR="00C17943" w:rsidRPr="00DA083C" w:rsidRDefault="00503F6B" w:rsidP="00C17943">
            <w:pPr>
              <w:jc w:val="center"/>
              <w:rPr>
                <w:sz w:val="16"/>
                <w:szCs w:val="16"/>
              </w:rPr>
            </w:pPr>
            <w:r w:rsidRPr="00DA083C">
              <w:rPr>
                <w:sz w:val="16"/>
                <w:szCs w:val="16"/>
              </w:rPr>
              <w:t>obyčajná</w:t>
            </w:r>
          </w:p>
        </w:tc>
      </w:tr>
      <w:tr w:rsidR="00773A84" w:rsidRPr="00DA083C" w14:paraId="51D4882E" w14:textId="77777777" w:rsidTr="001003B1">
        <w:trPr>
          <w:trHeight w:val="468"/>
          <w:jc w:val="center"/>
        </w:trPr>
        <w:tc>
          <w:tcPr>
            <w:tcW w:w="805" w:type="dxa"/>
            <w:vAlign w:val="center"/>
          </w:tcPr>
          <w:p w14:paraId="5C4A72AD" w14:textId="72324D25" w:rsidR="00773A84" w:rsidRPr="00DA083C" w:rsidRDefault="00773A84" w:rsidP="00773A84">
            <w:pPr>
              <w:rPr>
                <w:sz w:val="16"/>
                <w:szCs w:val="16"/>
              </w:rPr>
            </w:pPr>
            <w:r w:rsidRPr="00DA083C">
              <w:rPr>
                <w:sz w:val="16"/>
                <w:szCs w:val="16"/>
              </w:rPr>
              <w:t>KRRZ</w:t>
            </w:r>
          </w:p>
        </w:tc>
        <w:tc>
          <w:tcPr>
            <w:tcW w:w="1033" w:type="dxa"/>
            <w:vAlign w:val="center"/>
          </w:tcPr>
          <w:p w14:paraId="2F1E39FB" w14:textId="0EC67BA8" w:rsidR="00773A84" w:rsidRPr="00DA083C" w:rsidRDefault="00773A84" w:rsidP="00773A84">
            <w:pPr>
              <w:jc w:val="center"/>
              <w:rPr>
                <w:sz w:val="16"/>
                <w:szCs w:val="16"/>
              </w:rPr>
            </w:pPr>
            <w:r w:rsidRPr="00DA083C">
              <w:rPr>
                <w:sz w:val="16"/>
                <w:szCs w:val="16"/>
              </w:rPr>
              <w:t>Čl. I Bod 26</w:t>
            </w:r>
          </w:p>
        </w:tc>
        <w:tc>
          <w:tcPr>
            <w:tcW w:w="6946" w:type="dxa"/>
            <w:vAlign w:val="center"/>
          </w:tcPr>
          <w:p w14:paraId="14B4F816" w14:textId="2B42CD63" w:rsidR="00DB6D29" w:rsidRPr="00DA083C" w:rsidRDefault="00CC370A" w:rsidP="00DB6D29">
            <w:pPr>
              <w:jc w:val="both"/>
              <w:rPr>
                <w:sz w:val="16"/>
                <w:szCs w:val="16"/>
              </w:rPr>
            </w:pPr>
            <w:r w:rsidRPr="00DA083C">
              <w:rPr>
                <w:sz w:val="16"/>
                <w:szCs w:val="16"/>
              </w:rPr>
              <w:t xml:space="preserve">V návrhu § 65 </w:t>
            </w:r>
            <w:r w:rsidR="00DB6D29" w:rsidRPr="00DA083C">
              <w:rPr>
                <w:sz w:val="16"/>
                <w:szCs w:val="16"/>
              </w:rPr>
              <w:t>ods. 2 sa uvádza „Dôchodkový vek je všeobecný dôchodkový vek pre príslušný ročník vyjadrený v rokoch a kalendárnych mesiacoch, ktorý sa zhoduje s rokom narodenia poistenca...“.</w:t>
            </w:r>
          </w:p>
          <w:p w14:paraId="38BFE82F" w14:textId="23AAA0A1" w:rsidR="00DB6D29" w:rsidRPr="00DA083C" w:rsidRDefault="003C28D3" w:rsidP="00DB6D29">
            <w:pPr>
              <w:jc w:val="both"/>
              <w:rPr>
                <w:sz w:val="16"/>
                <w:szCs w:val="16"/>
              </w:rPr>
            </w:pPr>
            <w:r w:rsidRPr="00DA083C">
              <w:rPr>
                <w:sz w:val="16"/>
                <w:szCs w:val="16"/>
              </w:rPr>
              <w:t>Táto veta je z hľadiska jej štylistiky nejednoznačná.</w:t>
            </w:r>
          </w:p>
          <w:p w14:paraId="3B33D34D" w14:textId="1F68DDBB" w:rsidR="00DB6D29" w:rsidRPr="00DA083C" w:rsidRDefault="003C28D3" w:rsidP="00DB6D29">
            <w:pPr>
              <w:jc w:val="both"/>
              <w:rPr>
                <w:sz w:val="16"/>
                <w:szCs w:val="16"/>
              </w:rPr>
            </w:pPr>
            <w:r w:rsidRPr="00DA083C">
              <w:rPr>
                <w:sz w:val="16"/>
                <w:szCs w:val="16"/>
              </w:rPr>
              <w:t>Nie je jasné, k čomu sa viaže „vyjadrený v rokoch a kalendárnych mesiacoch“ – či k dôchodkovému veku, všeobecnému dôchodkovému veku, alebo príslušnému ročníku</w:t>
            </w:r>
            <w:r w:rsidR="008437A0" w:rsidRPr="00DA083C">
              <w:rPr>
                <w:sz w:val="16"/>
                <w:szCs w:val="16"/>
              </w:rPr>
              <w:t>, pričom tretia možnosť je nezmyselná.</w:t>
            </w:r>
          </w:p>
          <w:p w14:paraId="3A9D9A1F" w14:textId="48F35148" w:rsidR="003C28D3" w:rsidRPr="00DA083C" w:rsidRDefault="008437A0" w:rsidP="00DB6D29">
            <w:pPr>
              <w:jc w:val="both"/>
              <w:rPr>
                <w:sz w:val="16"/>
                <w:szCs w:val="16"/>
              </w:rPr>
            </w:pPr>
            <w:r w:rsidRPr="00DA083C">
              <w:rPr>
                <w:sz w:val="16"/>
                <w:szCs w:val="16"/>
              </w:rPr>
              <w:t xml:space="preserve">Text „ktorý sa zhoduje s rokom narodenia poistenca“ sa pravdepodobne viaže na príslušný ročník, </w:t>
            </w:r>
            <w:r w:rsidR="00FE5362" w:rsidRPr="00DA083C">
              <w:rPr>
                <w:sz w:val="16"/>
                <w:szCs w:val="16"/>
              </w:rPr>
              <w:t>čo by znamenalo, že aj</w:t>
            </w:r>
            <w:r w:rsidR="00D73CBB" w:rsidRPr="00DA083C">
              <w:rPr>
                <w:sz w:val="16"/>
                <w:szCs w:val="16"/>
              </w:rPr>
              <w:t xml:space="preserve"> časť</w:t>
            </w:r>
            <w:r w:rsidR="00FE5362" w:rsidRPr="00DA083C">
              <w:rPr>
                <w:sz w:val="16"/>
                <w:szCs w:val="16"/>
              </w:rPr>
              <w:t xml:space="preserve"> </w:t>
            </w:r>
            <w:r w:rsidR="00B878B4" w:rsidRPr="00DA083C">
              <w:rPr>
                <w:sz w:val="16"/>
                <w:szCs w:val="16"/>
              </w:rPr>
              <w:t>„vyjadrený v rokoch a kalendárnych mesiacoch“ sa viaže na príslušný ročník, z čoho vznikne nezmysel</w:t>
            </w:r>
            <w:r w:rsidR="00D73CBB" w:rsidRPr="00DA083C">
              <w:rPr>
                <w:sz w:val="16"/>
                <w:szCs w:val="16"/>
              </w:rPr>
              <w:t xml:space="preserve"> z predchádzajúcej vety</w:t>
            </w:r>
            <w:r w:rsidR="00B878B4" w:rsidRPr="00DA083C">
              <w:rPr>
                <w:sz w:val="16"/>
                <w:szCs w:val="16"/>
              </w:rPr>
              <w:t>.</w:t>
            </w:r>
          </w:p>
          <w:p w14:paraId="54A75864" w14:textId="7329E0DA" w:rsidR="00773A84" w:rsidRPr="00DA083C" w:rsidRDefault="00D73CBB" w:rsidP="00DB6D29">
            <w:pPr>
              <w:jc w:val="both"/>
              <w:rPr>
                <w:sz w:val="16"/>
                <w:szCs w:val="16"/>
              </w:rPr>
            </w:pPr>
            <w:r w:rsidRPr="00DA083C">
              <w:rPr>
                <w:sz w:val="16"/>
                <w:szCs w:val="16"/>
              </w:rPr>
              <w:t>Ak by sa text „vyjadrený v rokoch a kalendárnych mesiacoch“ mal viazať na všeobecný dôchodkový vek, z</w:t>
            </w:r>
            <w:r w:rsidR="00DB6D29" w:rsidRPr="00DA083C">
              <w:rPr>
                <w:sz w:val="16"/>
                <w:szCs w:val="16"/>
              </w:rPr>
              <w:t xml:space="preserve"> prílohy č. 3c vyplýva, že </w:t>
            </w:r>
            <w:r w:rsidRPr="00DA083C">
              <w:rPr>
                <w:sz w:val="16"/>
                <w:szCs w:val="16"/>
              </w:rPr>
              <w:t>tento</w:t>
            </w:r>
            <w:r w:rsidR="00DB6D29" w:rsidRPr="00DA083C">
              <w:rPr>
                <w:sz w:val="16"/>
                <w:szCs w:val="16"/>
              </w:rPr>
              <w:t xml:space="preserve"> je určený v rokoch a zaokrúhlený na štyri desatinné miesta</w:t>
            </w:r>
            <w:r w:rsidR="005913D5" w:rsidRPr="00DA083C">
              <w:rPr>
                <w:sz w:val="16"/>
                <w:szCs w:val="16"/>
              </w:rPr>
              <w:t>. N</w:t>
            </w:r>
            <w:r w:rsidRPr="00DA083C">
              <w:rPr>
                <w:sz w:val="16"/>
                <w:szCs w:val="16"/>
              </w:rPr>
              <w:t xml:space="preserve">ávrh </w:t>
            </w:r>
            <w:r w:rsidR="00DB6D29" w:rsidRPr="00DA083C">
              <w:rPr>
                <w:sz w:val="16"/>
                <w:szCs w:val="16"/>
              </w:rPr>
              <w:t>zákona</w:t>
            </w:r>
            <w:r w:rsidRPr="00DA083C">
              <w:rPr>
                <w:sz w:val="16"/>
                <w:szCs w:val="16"/>
              </w:rPr>
              <w:t xml:space="preserve"> nedefinuje</w:t>
            </w:r>
            <w:r w:rsidR="00DB6D29" w:rsidRPr="00DA083C">
              <w:rPr>
                <w:sz w:val="16"/>
                <w:szCs w:val="16"/>
              </w:rPr>
              <w:t xml:space="preserve"> spôsob, akým sa číslo (vek v rokoch) s presnosťou na štyri desatinné miesta pretransformuje na formát rokov a mesiacov.</w:t>
            </w:r>
            <w:r w:rsidR="003D19AF" w:rsidRPr="00DA083C">
              <w:rPr>
                <w:sz w:val="16"/>
                <w:szCs w:val="16"/>
              </w:rPr>
              <w:t xml:space="preserve"> Navrhujeme uviesť do návrhu zákona spôsob, akým sa číslo (vek v rokoch) s presnosťou na štyri desatinné miesta pretransformuje na formát rokov a mesiacov. Zároveň navrhujeme upustiť od toho, aby sa dva vecne odlišné pojmy označovali ako „všeobecný dôchodkový vek“ a „všeobecný dôchodkový vek“, t.j. rovnako.</w:t>
            </w:r>
          </w:p>
          <w:p w14:paraId="35A31193" w14:textId="160FA35A" w:rsidR="000B0A42" w:rsidRPr="00DA083C" w:rsidRDefault="000B0A42" w:rsidP="00DB6D29">
            <w:pPr>
              <w:jc w:val="both"/>
              <w:rPr>
                <w:sz w:val="16"/>
                <w:szCs w:val="16"/>
              </w:rPr>
            </w:pPr>
            <w:r w:rsidRPr="00DA083C">
              <w:rPr>
                <w:sz w:val="16"/>
                <w:szCs w:val="16"/>
              </w:rPr>
              <w:t>Až po korektnej definícii všeobecného dôchodkového veku v tvare rokov a mesiacov je</w:t>
            </w:r>
            <w:r w:rsidR="00442A1B" w:rsidRPr="00DA083C">
              <w:rPr>
                <w:sz w:val="16"/>
                <w:szCs w:val="16"/>
              </w:rPr>
              <w:t xml:space="preserve"> </w:t>
            </w:r>
            <w:r w:rsidRPr="00DA083C">
              <w:rPr>
                <w:sz w:val="16"/>
                <w:szCs w:val="16"/>
              </w:rPr>
              <w:t>možné pristúpiť k vyjadreniu dôchodkového veku podľa ods.</w:t>
            </w:r>
            <w:r w:rsidR="00442A1B" w:rsidRPr="00DA083C">
              <w:rPr>
                <w:sz w:val="16"/>
                <w:szCs w:val="16"/>
              </w:rPr>
              <w:t> </w:t>
            </w:r>
            <w:r w:rsidRPr="00DA083C">
              <w:rPr>
                <w:sz w:val="16"/>
                <w:szCs w:val="16"/>
              </w:rPr>
              <w:t>2, písmen a), b), alebo c).</w:t>
            </w:r>
          </w:p>
        </w:tc>
        <w:tc>
          <w:tcPr>
            <w:tcW w:w="855" w:type="dxa"/>
            <w:vAlign w:val="center"/>
          </w:tcPr>
          <w:p w14:paraId="4BE60181" w14:textId="48321AD0" w:rsidR="00773A84" w:rsidRPr="00DA083C" w:rsidRDefault="00464566" w:rsidP="00773A84">
            <w:pPr>
              <w:jc w:val="center"/>
              <w:rPr>
                <w:sz w:val="16"/>
                <w:szCs w:val="16"/>
              </w:rPr>
            </w:pPr>
            <w:r w:rsidRPr="00DA083C">
              <w:rPr>
                <w:sz w:val="16"/>
                <w:szCs w:val="16"/>
              </w:rPr>
              <w:t>obyčajná</w:t>
            </w:r>
          </w:p>
        </w:tc>
      </w:tr>
      <w:tr w:rsidR="00773A84" w:rsidRPr="00DA083C" w14:paraId="224FA7D9" w14:textId="77777777" w:rsidTr="001003B1">
        <w:trPr>
          <w:trHeight w:val="468"/>
          <w:jc w:val="center"/>
        </w:trPr>
        <w:tc>
          <w:tcPr>
            <w:tcW w:w="805" w:type="dxa"/>
            <w:vAlign w:val="center"/>
          </w:tcPr>
          <w:p w14:paraId="538C6325" w14:textId="0B77ED5F" w:rsidR="00773A84" w:rsidRPr="00DA083C" w:rsidRDefault="00773A84" w:rsidP="00773A84">
            <w:pPr>
              <w:rPr>
                <w:sz w:val="16"/>
                <w:szCs w:val="16"/>
              </w:rPr>
            </w:pPr>
            <w:r w:rsidRPr="00DA083C">
              <w:rPr>
                <w:sz w:val="16"/>
                <w:szCs w:val="16"/>
              </w:rPr>
              <w:t>KRRZ</w:t>
            </w:r>
          </w:p>
        </w:tc>
        <w:tc>
          <w:tcPr>
            <w:tcW w:w="1033" w:type="dxa"/>
            <w:vAlign w:val="center"/>
          </w:tcPr>
          <w:p w14:paraId="4BC46D97" w14:textId="12DA0000" w:rsidR="00773A84" w:rsidRPr="00DA083C" w:rsidRDefault="00773A84" w:rsidP="00773A84">
            <w:pPr>
              <w:jc w:val="center"/>
              <w:rPr>
                <w:sz w:val="16"/>
                <w:szCs w:val="16"/>
              </w:rPr>
            </w:pPr>
            <w:r w:rsidRPr="00DA083C">
              <w:rPr>
                <w:sz w:val="16"/>
                <w:szCs w:val="16"/>
              </w:rPr>
              <w:t>Čl. I Bod 26</w:t>
            </w:r>
          </w:p>
        </w:tc>
        <w:tc>
          <w:tcPr>
            <w:tcW w:w="6946" w:type="dxa"/>
            <w:vAlign w:val="center"/>
          </w:tcPr>
          <w:p w14:paraId="0AFFE54A" w14:textId="54DEF7C4" w:rsidR="00773A84" w:rsidRPr="00DA083C" w:rsidRDefault="005F1D75" w:rsidP="00773A84">
            <w:pPr>
              <w:jc w:val="both"/>
              <w:rPr>
                <w:sz w:val="16"/>
                <w:szCs w:val="16"/>
              </w:rPr>
            </w:pPr>
            <w:r w:rsidRPr="00DA083C">
              <w:rPr>
                <w:b/>
                <w:bCs/>
                <w:sz w:val="16"/>
                <w:szCs w:val="16"/>
              </w:rPr>
              <w:t>N</w:t>
            </w:r>
            <w:r w:rsidR="00773A84" w:rsidRPr="00DA083C">
              <w:rPr>
                <w:b/>
                <w:bCs/>
                <w:sz w:val="16"/>
                <w:szCs w:val="16"/>
              </w:rPr>
              <w:t>avrhujeme definovať dôchodkový vek aj pre osoby narodené v roku 1967 alebo neskôr, ktoré nevychovali žiadne deti</w:t>
            </w:r>
            <w:r w:rsidR="00773A84" w:rsidRPr="00DA083C">
              <w:rPr>
                <w:sz w:val="16"/>
                <w:szCs w:val="16"/>
              </w:rPr>
              <w:t xml:space="preserve">. </w:t>
            </w:r>
            <w:r w:rsidR="00C63F66" w:rsidRPr="00DA083C">
              <w:rPr>
                <w:sz w:val="16"/>
                <w:szCs w:val="16"/>
              </w:rPr>
              <w:t xml:space="preserve">Podľa znenia predloženého </w:t>
            </w:r>
            <w:r w:rsidR="00773A84" w:rsidRPr="00DA083C">
              <w:rPr>
                <w:sz w:val="16"/>
                <w:szCs w:val="16"/>
              </w:rPr>
              <w:t xml:space="preserve">návrhu zákona </w:t>
            </w:r>
            <w:r w:rsidR="00EA2C7B" w:rsidRPr="00DA083C">
              <w:rPr>
                <w:sz w:val="16"/>
                <w:szCs w:val="16"/>
              </w:rPr>
              <w:t xml:space="preserve">totiž </w:t>
            </w:r>
            <w:r w:rsidR="00C63F66" w:rsidRPr="00DA083C">
              <w:rPr>
                <w:sz w:val="16"/>
                <w:szCs w:val="16"/>
              </w:rPr>
              <w:t xml:space="preserve">nie je možné </w:t>
            </w:r>
            <w:r w:rsidR="00773A84" w:rsidRPr="00DA083C">
              <w:rPr>
                <w:sz w:val="16"/>
                <w:szCs w:val="16"/>
              </w:rPr>
              <w:t>bezdetným poistencom vyjadriť dôchodkový vek.</w:t>
            </w:r>
          </w:p>
          <w:p w14:paraId="6427108F" w14:textId="77777777" w:rsidR="00C63F66" w:rsidRPr="00DA083C" w:rsidRDefault="00C63F66" w:rsidP="00773A84">
            <w:pPr>
              <w:jc w:val="both"/>
              <w:rPr>
                <w:sz w:val="16"/>
                <w:szCs w:val="16"/>
              </w:rPr>
            </w:pPr>
          </w:p>
          <w:p w14:paraId="3CE2724C" w14:textId="39820768" w:rsidR="00C63F66" w:rsidRPr="00DA083C" w:rsidRDefault="00C63F66" w:rsidP="00EA2C7B">
            <w:pPr>
              <w:jc w:val="both"/>
              <w:rPr>
                <w:sz w:val="16"/>
                <w:szCs w:val="16"/>
              </w:rPr>
            </w:pPr>
            <w:r w:rsidRPr="00DA083C">
              <w:rPr>
                <w:sz w:val="16"/>
                <w:szCs w:val="16"/>
              </w:rPr>
              <w:t xml:space="preserve">Zároveň na rovnakom mieste navrhujeme upraviť text v znení „18 mesiacov, ak poistenec vychoval tri a viac detí“ na text „18 mesiacov, ak poistenec vychoval tri deti alebo viac detí“. </w:t>
            </w:r>
            <w:r w:rsidRPr="00DA083C">
              <w:rPr>
                <w:b/>
                <w:bCs/>
                <w:sz w:val="16"/>
                <w:szCs w:val="16"/>
              </w:rPr>
              <w:t>Nie je totiž možné vychovať tri deti a súčasne viac ako tri deti</w:t>
            </w:r>
            <w:r w:rsidRPr="00DA083C">
              <w:rPr>
                <w:sz w:val="16"/>
                <w:szCs w:val="16"/>
              </w:rPr>
              <w:t>.</w:t>
            </w:r>
            <w:r w:rsidR="00EA2C7B" w:rsidRPr="00DA083C">
              <w:rPr>
                <w:sz w:val="16"/>
                <w:szCs w:val="16"/>
              </w:rPr>
              <w:t xml:space="preserve"> Navrhovaná f</w:t>
            </w:r>
            <w:r w:rsidRPr="00DA083C">
              <w:rPr>
                <w:sz w:val="16"/>
                <w:szCs w:val="16"/>
              </w:rPr>
              <w:t xml:space="preserve">ormulácia „vychoval tri deti alebo viac detí“ je už </w:t>
            </w:r>
            <w:r w:rsidR="00EA2C7B" w:rsidRPr="00DA083C">
              <w:rPr>
                <w:sz w:val="16"/>
                <w:szCs w:val="16"/>
              </w:rPr>
              <w:t xml:space="preserve">dnes </w:t>
            </w:r>
            <w:r w:rsidRPr="00DA083C">
              <w:rPr>
                <w:sz w:val="16"/>
                <w:szCs w:val="16"/>
              </w:rPr>
              <w:t xml:space="preserve">použitá v prílohe č. 3b </w:t>
            </w:r>
            <w:r w:rsidR="00EA2C7B" w:rsidRPr="00DA083C">
              <w:rPr>
                <w:sz w:val="16"/>
                <w:szCs w:val="16"/>
              </w:rPr>
              <w:t>platného</w:t>
            </w:r>
            <w:r w:rsidRPr="00DA083C">
              <w:rPr>
                <w:sz w:val="16"/>
                <w:szCs w:val="16"/>
              </w:rPr>
              <w:t xml:space="preserve"> znenia zákona</w:t>
            </w:r>
            <w:r w:rsidR="00EA2C7B" w:rsidRPr="00DA083C">
              <w:rPr>
                <w:sz w:val="16"/>
                <w:szCs w:val="16"/>
              </w:rPr>
              <w:t>.</w:t>
            </w:r>
          </w:p>
          <w:p w14:paraId="49AD09F4" w14:textId="6949522D" w:rsidR="00EA2C7B" w:rsidRPr="00DA083C" w:rsidRDefault="00EA2C7B" w:rsidP="00EA2C7B">
            <w:pPr>
              <w:jc w:val="both"/>
              <w:rPr>
                <w:sz w:val="16"/>
                <w:szCs w:val="16"/>
              </w:rPr>
            </w:pPr>
          </w:p>
        </w:tc>
        <w:tc>
          <w:tcPr>
            <w:tcW w:w="855" w:type="dxa"/>
            <w:vAlign w:val="center"/>
          </w:tcPr>
          <w:p w14:paraId="0E63B627" w14:textId="6D373D64" w:rsidR="00773A84" w:rsidRPr="00DA083C" w:rsidRDefault="00697D47" w:rsidP="00773A84">
            <w:pPr>
              <w:jc w:val="center"/>
              <w:rPr>
                <w:sz w:val="16"/>
                <w:szCs w:val="16"/>
              </w:rPr>
            </w:pPr>
            <w:r w:rsidRPr="00DA083C">
              <w:rPr>
                <w:sz w:val="16"/>
                <w:szCs w:val="16"/>
              </w:rPr>
              <w:t>obyčajná</w:t>
            </w:r>
          </w:p>
        </w:tc>
      </w:tr>
      <w:tr w:rsidR="00773A84" w:rsidRPr="00DA083C" w14:paraId="1295F6DF" w14:textId="77777777" w:rsidTr="001003B1">
        <w:trPr>
          <w:trHeight w:val="468"/>
          <w:jc w:val="center"/>
        </w:trPr>
        <w:tc>
          <w:tcPr>
            <w:tcW w:w="805" w:type="dxa"/>
            <w:vAlign w:val="center"/>
          </w:tcPr>
          <w:p w14:paraId="623ED0FE" w14:textId="082641F8" w:rsidR="00773A84" w:rsidRPr="00DA083C" w:rsidRDefault="00773A84" w:rsidP="00773A84">
            <w:pPr>
              <w:rPr>
                <w:sz w:val="16"/>
                <w:szCs w:val="16"/>
              </w:rPr>
            </w:pPr>
            <w:r w:rsidRPr="00DA083C">
              <w:rPr>
                <w:sz w:val="16"/>
                <w:szCs w:val="16"/>
              </w:rPr>
              <w:t>KRRZ</w:t>
            </w:r>
          </w:p>
        </w:tc>
        <w:tc>
          <w:tcPr>
            <w:tcW w:w="1033" w:type="dxa"/>
            <w:vAlign w:val="center"/>
          </w:tcPr>
          <w:p w14:paraId="1EE497F0" w14:textId="3446F52E" w:rsidR="00773A84" w:rsidRPr="00DA083C" w:rsidRDefault="00773A84" w:rsidP="00773A84">
            <w:pPr>
              <w:jc w:val="center"/>
              <w:rPr>
                <w:sz w:val="16"/>
                <w:szCs w:val="16"/>
              </w:rPr>
            </w:pPr>
            <w:r w:rsidRPr="00DA083C">
              <w:rPr>
                <w:sz w:val="16"/>
                <w:szCs w:val="16"/>
              </w:rPr>
              <w:t>Čl. I Bod 27</w:t>
            </w:r>
          </w:p>
        </w:tc>
        <w:tc>
          <w:tcPr>
            <w:tcW w:w="6946" w:type="dxa"/>
            <w:vAlign w:val="center"/>
          </w:tcPr>
          <w:p w14:paraId="42A588BC" w14:textId="358E4C54" w:rsidR="00773A84" w:rsidRPr="00DA083C" w:rsidRDefault="00773A84" w:rsidP="003B2723">
            <w:pPr>
              <w:jc w:val="both"/>
              <w:rPr>
                <w:sz w:val="16"/>
                <w:szCs w:val="16"/>
              </w:rPr>
            </w:pPr>
            <w:r w:rsidRPr="00DA083C">
              <w:rPr>
                <w:sz w:val="16"/>
                <w:szCs w:val="16"/>
              </w:rPr>
              <w:t xml:space="preserve">Doterajšie odseky 3 a 4 sa označujú ako odseky 6 a 7. </w:t>
            </w:r>
            <w:r w:rsidR="003B2723" w:rsidRPr="00DA083C">
              <w:rPr>
                <w:sz w:val="16"/>
                <w:szCs w:val="16"/>
              </w:rPr>
              <w:t>Viaž</w:t>
            </w:r>
            <w:r w:rsidR="0095509B" w:rsidRPr="00DA083C">
              <w:rPr>
                <w:sz w:val="16"/>
                <w:szCs w:val="16"/>
              </w:rPr>
              <w:t>u</w:t>
            </w:r>
            <w:r w:rsidR="003B2723" w:rsidRPr="00DA083C">
              <w:rPr>
                <w:sz w:val="16"/>
                <w:szCs w:val="16"/>
              </w:rPr>
              <w:t xml:space="preserve"> sa na navrhované znenie odseku 2. </w:t>
            </w:r>
            <w:r w:rsidRPr="00DA083C">
              <w:rPr>
                <w:sz w:val="16"/>
                <w:szCs w:val="16"/>
              </w:rPr>
              <w:t xml:space="preserve">Stráca sa </w:t>
            </w:r>
            <w:r w:rsidR="003B2723" w:rsidRPr="00DA083C">
              <w:rPr>
                <w:sz w:val="16"/>
                <w:szCs w:val="16"/>
              </w:rPr>
              <w:t xml:space="preserve">však </w:t>
            </w:r>
            <w:r w:rsidRPr="00DA083C">
              <w:rPr>
                <w:sz w:val="16"/>
                <w:szCs w:val="16"/>
              </w:rPr>
              <w:t xml:space="preserve">ich </w:t>
            </w:r>
            <w:r w:rsidR="00C33CA1" w:rsidRPr="00DA083C">
              <w:rPr>
                <w:sz w:val="16"/>
                <w:szCs w:val="16"/>
              </w:rPr>
              <w:t xml:space="preserve">nutné </w:t>
            </w:r>
            <w:r w:rsidRPr="00DA083C">
              <w:rPr>
                <w:sz w:val="16"/>
                <w:szCs w:val="16"/>
              </w:rPr>
              <w:t xml:space="preserve">prepojenie na doterajší odsek 2 v pôvodnom znení, ktorého vecný obsah sa návrhom zákona presúva do prechodného ustanovenia § 293fw. Strata prepojenia spôsobí problém </w:t>
            </w:r>
            <w:r w:rsidRPr="00DA083C">
              <w:rPr>
                <w:sz w:val="16"/>
                <w:szCs w:val="16"/>
              </w:rPr>
              <w:lastRenderedPageBreak/>
              <w:t>nejasnosti/nemožnosti určenia dôchodkového veku poistencom narodeným v roku 1966 alebo skôr.</w:t>
            </w:r>
            <w:r w:rsidR="00055F7E" w:rsidRPr="00DA083C">
              <w:rPr>
                <w:sz w:val="16"/>
                <w:szCs w:val="16"/>
              </w:rPr>
              <w:t xml:space="preserve"> Navrhujeme túto chybu opraviť.</w:t>
            </w:r>
          </w:p>
        </w:tc>
        <w:tc>
          <w:tcPr>
            <w:tcW w:w="855" w:type="dxa"/>
            <w:vAlign w:val="center"/>
          </w:tcPr>
          <w:p w14:paraId="637B7720" w14:textId="23F80326" w:rsidR="00773A84" w:rsidRPr="00DA083C" w:rsidRDefault="00F559BB" w:rsidP="00773A84">
            <w:pPr>
              <w:jc w:val="center"/>
              <w:rPr>
                <w:sz w:val="16"/>
                <w:szCs w:val="16"/>
                <w:highlight w:val="cyan"/>
              </w:rPr>
            </w:pPr>
            <w:r w:rsidRPr="00DA083C">
              <w:rPr>
                <w:sz w:val="16"/>
                <w:szCs w:val="16"/>
              </w:rPr>
              <w:lastRenderedPageBreak/>
              <w:t>obyčajná</w:t>
            </w:r>
          </w:p>
        </w:tc>
      </w:tr>
      <w:tr w:rsidR="00773A84" w:rsidRPr="00DA083C" w14:paraId="70897C05" w14:textId="77777777" w:rsidTr="001003B1">
        <w:trPr>
          <w:trHeight w:val="468"/>
          <w:jc w:val="center"/>
        </w:trPr>
        <w:tc>
          <w:tcPr>
            <w:tcW w:w="805" w:type="dxa"/>
            <w:vAlign w:val="center"/>
          </w:tcPr>
          <w:p w14:paraId="7A715F26" w14:textId="44F63083" w:rsidR="00773A84" w:rsidRPr="00DA083C" w:rsidRDefault="00773A84" w:rsidP="00773A84">
            <w:pPr>
              <w:rPr>
                <w:sz w:val="16"/>
                <w:szCs w:val="16"/>
              </w:rPr>
            </w:pPr>
            <w:r w:rsidRPr="00DA083C">
              <w:rPr>
                <w:sz w:val="16"/>
                <w:szCs w:val="16"/>
              </w:rPr>
              <w:t>KRRZ</w:t>
            </w:r>
          </w:p>
        </w:tc>
        <w:tc>
          <w:tcPr>
            <w:tcW w:w="1033" w:type="dxa"/>
            <w:vAlign w:val="center"/>
          </w:tcPr>
          <w:p w14:paraId="6A5C1C6E" w14:textId="50935277" w:rsidR="00773A84" w:rsidRPr="00DA083C" w:rsidRDefault="00773A84" w:rsidP="00773A84">
            <w:pPr>
              <w:jc w:val="center"/>
              <w:rPr>
                <w:sz w:val="16"/>
                <w:szCs w:val="16"/>
              </w:rPr>
            </w:pPr>
            <w:r w:rsidRPr="00DA083C">
              <w:rPr>
                <w:sz w:val="16"/>
                <w:szCs w:val="16"/>
              </w:rPr>
              <w:t>Čl. I Bod 28</w:t>
            </w:r>
          </w:p>
        </w:tc>
        <w:tc>
          <w:tcPr>
            <w:tcW w:w="6946" w:type="dxa"/>
            <w:vAlign w:val="center"/>
          </w:tcPr>
          <w:p w14:paraId="73D16271" w14:textId="3500583C" w:rsidR="00773A84" w:rsidRPr="00DA083C" w:rsidRDefault="00773A84" w:rsidP="00773A84">
            <w:pPr>
              <w:jc w:val="both"/>
              <w:rPr>
                <w:sz w:val="16"/>
                <w:szCs w:val="16"/>
              </w:rPr>
            </w:pPr>
            <w:r w:rsidRPr="00DA083C">
              <w:rPr>
                <w:sz w:val="16"/>
                <w:szCs w:val="16"/>
              </w:rPr>
              <w:t xml:space="preserve">V návrhu § 65 ods. 8 sa uvádza text „ktorým </w:t>
            </w:r>
            <w:r w:rsidRPr="00DA083C">
              <w:rPr>
                <w:b/>
                <w:bCs/>
                <w:sz w:val="16"/>
                <w:szCs w:val="16"/>
              </w:rPr>
              <w:t>ustanoví</w:t>
            </w:r>
            <w:r w:rsidRPr="00DA083C">
              <w:rPr>
                <w:sz w:val="16"/>
                <w:szCs w:val="16"/>
              </w:rPr>
              <w:t xml:space="preserve"> všeobecný dôchodkový vek pre príslušný ročník vyjadrený v rokoch a kalendárnych mesiacoch.“. Z prílohy č. 3c vyplýva, že </w:t>
            </w:r>
            <w:r w:rsidR="008666D8" w:rsidRPr="00DA083C">
              <w:rPr>
                <w:sz w:val="16"/>
                <w:szCs w:val="16"/>
              </w:rPr>
              <w:t>všeobecný dôchodkový vek (</w:t>
            </w:r>
            <w:r w:rsidRPr="00DA083C">
              <w:rPr>
                <w:sz w:val="16"/>
                <w:szCs w:val="16"/>
              </w:rPr>
              <w:t>VDV</w:t>
            </w:r>
            <w:r w:rsidR="008666D8" w:rsidRPr="00DA083C">
              <w:rPr>
                <w:sz w:val="16"/>
                <w:szCs w:val="16"/>
              </w:rPr>
              <w:t xml:space="preserve">) </w:t>
            </w:r>
            <w:r w:rsidRPr="00DA083C">
              <w:rPr>
                <w:sz w:val="16"/>
                <w:szCs w:val="16"/>
              </w:rPr>
              <w:t xml:space="preserve">je </w:t>
            </w:r>
            <w:r w:rsidRPr="00DA083C">
              <w:rPr>
                <w:b/>
                <w:bCs/>
                <w:sz w:val="16"/>
                <w:szCs w:val="16"/>
              </w:rPr>
              <w:t>určený</w:t>
            </w:r>
            <w:r w:rsidRPr="00DA083C">
              <w:rPr>
                <w:sz w:val="16"/>
                <w:szCs w:val="16"/>
              </w:rPr>
              <w:t xml:space="preserve"> v rokoch a zaokrúhlený na štyri desatinné miesta.</w:t>
            </w:r>
          </w:p>
          <w:p w14:paraId="6ABB89E4" w14:textId="485BFBD0" w:rsidR="00773A84" w:rsidRPr="00DA083C" w:rsidRDefault="00773A84" w:rsidP="00773A84">
            <w:pPr>
              <w:jc w:val="both"/>
              <w:rPr>
                <w:sz w:val="16"/>
                <w:szCs w:val="16"/>
              </w:rPr>
            </w:pPr>
            <w:r w:rsidRPr="00DA083C">
              <w:rPr>
                <w:sz w:val="16"/>
                <w:szCs w:val="16"/>
              </w:rPr>
              <w:t xml:space="preserve">Navrhujeme do návrhu zákona </w:t>
            </w:r>
            <w:r w:rsidR="008666D8" w:rsidRPr="00DA083C">
              <w:rPr>
                <w:sz w:val="16"/>
                <w:szCs w:val="16"/>
              </w:rPr>
              <w:t xml:space="preserve">doplniť </w:t>
            </w:r>
            <w:r w:rsidRPr="00DA083C">
              <w:rPr>
                <w:sz w:val="16"/>
                <w:szCs w:val="16"/>
              </w:rPr>
              <w:t>spôsob, akým sa číslo (vek v rokoch) s presnosťou na štyri desatinné miesta pretransformuje na formát rokov a mesiacov.</w:t>
            </w:r>
            <w:r w:rsidR="004B2F94" w:rsidRPr="00DA083C">
              <w:rPr>
                <w:sz w:val="16"/>
                <w:szCs w:val="16"/>
              </w:rPr>
              <w:t xml:space="preserve"> Zároveň navrhujeme upustiť od toho, aby sa dva vecne odlišné pojmy označovali ako „</w:t>
            </w:r>
            <w:r w:rsidR="004B2F94" w:rsidRPr="00DA083C">
              <w:rPr>
                <w:b/>
                <w:bCs/>
                <w:sz w:val="16"/>
                <w:szCs w:val="16"/>
              </w:rPr>
              <w:t>všeobecný dôchodkový vek</w:t>
            </w:r>
            <w:r w:rsidR="004B2F94" w:rsidRPr="00DA083C">
              <w:rPr>
                <w:sz w:val="16"/>
                <w:szCs w:val="16"/>
              </w:rPr>
              <w:t>“</w:t>
            </w:r>
            <w:r w:rsidR="003D19AF" w:rsidRPr="00DA083C">
              <w:rPr>
                <w:sz w:val="16"/>
                <w:szCs w:val="16"/>
              </w:rPr>
              <w:t xml:space="preserve"> a „všeobecný dôchodkový vek“, t.j. rovnako</w:t>
            </w:r>
            <w:r w:rsidR="004B2F94" w:rsidRPr="00DA083C">
              <w:rPr>
                <w:sz w:val="16"/>
                <w:szCs w:val="16"/>
              </w:rPr>
              <w:t>.</w:t>
            </w:r>
          </w:p>
        </w:tc>
        <w:tc>
          <w:tcPr>
            <w:tcW w:w="855" w:type="dxa"/>
            <w:vAlign w:val="center"/>
          </w:tcPr>
          <w:p w14:paraId="37A5D92E" w14:textId="25F22710" w:rsidR="00773A84" w:rsidRPr="00DA083C" w:rsidRDefault="00B82515" w:rsidP="00773A84">
            <w:pPr>
              <w:jc w:val="center"/>
              <w:rPr>
                <w:sz w:val="16"/>
                <w:szCs w:val="16"/>
              </w:rPr>
            </w:pPr>
            <w:r w:rsidRPr="00DA083C">
              <w:rPr>
                <w:sz w:val="16"/>
                <w:szCs w:val="16"/>
              </w:rPr>
              <w:t>obyčajná</w:t>
            </w:r>
          </w:p>
        </w:tc>
      </w:tr>
      <w:tr w:rsidR="00773A84" w:rsidRPr="00DA083C" w14:paraId="57A2750F" w14:textId="77777777" w:rsidTr="001003B1">
        <w:trPr>
          <w:trHeight w:val="468"/>
          <w:jc w:val="center"/>
        </w:trPr>
        <w:tc>
          <w:tcPr>
            <w:tcW w:w="805" w:type="dxa"/>
            <w:vAlign w:val="center"/>
          </w:tcPr>
          <w:p w14:paraId="00EA55B4" w14:textId="72D925BB" w:rsidR="00773A84" w:rsidRPr="00DA083C" w:rsidRDefault="00773A84" w:rsidP="00773A84">
            <w:pPr>
              <w:rPr>
                <w:sz w:val="16"/>
                <w:szCs w:val="16"/>
              </w:rPr>
            </w:pPr>
            <w:r w:rsidRPr="00DA083C">
              <w:rPr>
                <w:sz w:val="16"/>
                <w:szCs w:val="16"/>
              </w:rPr>
              <w:t>KRRZ</w:t>
            </w:r>
          </w:p>
        </w:tc>
        <w:tc>
          <w:tcPr>
            <w:tcW w:w="1033" w:type="dxa"/>
            <w:vAlign w:val="center"/>
          </w:tcPr>
          <w:p w14:paraId="38E6791D" w14:textId="0F8978A3" w:rsidR="00773A84" w:rsidRPr="00DA083C" w:rsidRDefault="00773A84" w:rsidP="00773A84">
            <w:pPr>
              <w:jc w:val="center"/>
              <w:rPr>
                <w:sz w:val="16"/>
                <w:szCs w:val="16"/>
              </w:rPr>
            </w:pPr>
            <w:r w:rsidRPr="00DA083C">
              <w:rPr>
                <w:sz w:val="16"/>
                <w:szCs w:val="16"/>
              </w:rPr>
              <w:t>Čl. I Bod 28</w:t>
            </w:r>
          </w:p>
        </w:tc>
        <w:tc>
          <w:tcPr>
            <w:tcW w:w="6946" w:type="dxa"/>
            <w:vAlign w:val="center"/>
          </w:tcPr>
          <w:p w14:paraId="017B0631" w14:textId="3533E26D" w:rsidR="000860FC" w:rsidRPr="00DA083C" w:rsidRDefault="000860FC" w:rsidP="00773A84">
            <w:pPr>
              <w:jc w:val="both"/>
              <w:rPr>
                <w:sz w:val="16"/>
                <w:szCs w:val="16"/>
              </w:rPr>
            </w:pPr>
            <w:r w:rsidRPr="00DA083C">
              <w:rPr>
                <w:sz w:val="16"/>
                <w:szCs w:val="16"/>
              </w:rPr>
              <w:t>Aktuálny návrh znenia § 65 ods. 8, t.j. ustanovenie a zverejnenie všeobecného dôchodkového veku v Zbierke zákonov na niekoľko rokov dopredu, podľa názoru KRRZ </w:t>
            </w:r>
            <w:r w:rsidRPr="00DA083C">
              <w:rPr>
                <w:b/>
                <w:bCs/>
                <w:sz w:val="16"/>
                <w:szCs w:val="16"/>
              </w:rPr>
              <w:t>nenapĺňa zámer predkladateľa, ktorý mal záujem zvýšiť v časovom predstihu informovanosť budúcich starobných dôchodcov o ich vlastných dôchodkových vekoch.</w:t>
            </w:r>
          </w:p>
          <w:p w14:paraId="4FCEC68D" w14:textId="77777777" w:rsidR="000860FC" w:rsidRPr="00DA083C" w:rsidRDefault="000860FC" w:rsidP="00773A84">
            <w:pPr>
              <w:jc w:val="both"/>
              <w:rPr>
                <w:sz w:val="16"/>
                <w:szCs w:val="16"/>
              </w:rPr>
            </w:pPr>
          </w:p>
          <w:p w14:paraId="564F4ED4" w14:textId="7466D54B" w:rsidR="002B7FA6" w:rsidRPr="00DA083C" w:rsidRDefault="00773A84" w:rsidP="00773A84">
            <w:pPr>
              <w:jc w:val="both"/>
              <w:rPr>
                <w:sz w:val="16"/>
                <w:szCs w:val="16"/>
              </w:rPr>
            </w:pPr>
            <w:r w:rsidRPr="00DA083C">
              <w:rPr>
                <w:sz w:val="16"/>
                <w:szCs w:val="16"/>
              </w:rPr>
              <w:t xml:space="preserve">V návrhu § 65 ods. 8 </w:t>
            </w:r>
            <w:r w:rsidR="000860FC" w:rsidRPr="00DA083C">
              <w:rPr>
                <w:sz w:val="16"/>
                <w:szCs w:val="16"/>
              </w:rPr>
              <w:t xml:space="preserve">preto </w:t>
            </w:r>
            <w:r w:rsidRPr="00DA083C">
              <w:rPr>
                <w:sz w:val="16"/>
                <w:szCs w:val="16"/>
              </w:rPr>
              <w:t>navrhujeme rozšíriť rozsah informácií, ktoré budú zverejnené v Zbierke zákonov.</w:t>
            </w:r>
            <w:r w:rsidR="000860FC" w:rsidRPr="00DA083C">
              <w:rPr>
                <w:sz w:val="16"/>
                <w:szCs w:val="16"/>
              </w:rPr>
              <w:t xml:space="preserve"> N</w:t>
            </w:r>
            <w:r w:rsidRPr="00DA083C">
              <w:rPr>
                <w:sz w:val="16"/>
                <w:szCs w:val="16"/>
              </w:rPr>
              <w:t xml:space="preserve">ad rámec všeobecného dôchodkového veku </w:t>
            </w:r>
            <w:r w:rsidR="000860FC" w:rsidRPr="00DA083C">
              <w:rPr>
                <w:sz w:val="16"/>
                <w:szCs w:val="16"/>
              </w:rPr>
              <w:t xml:space="preserve">navrhujeme </w:t>
            </w:r>
            <w:r w:rsidRPr="00DA083C">
              <w:rPr>
                <w:sz w:val="16"/>
                <w:szCs w:val="16"/>
              </w:rPr>
              <w:t>uvádzať aj dôchodkový vek jednotlivých skupín pre príslušné ročníky, pre ktoré bude možné tento vyjadriť</w:t>
            </w:r>
            <w:r w:rsidR="00DC0124" w:rsidRPr="00DA083C">
              <w:rPr>
                <w:sz w:val="16"/>
                <w:szCs w:val="16"/>
              </w:rPr>
              <w:t>, čo sú podľa aktuálneho znenia návrhu iba osoby, ktoré vychovali jedno dieťa alebo dve deti</w:t>
            </w:r>
            <w:r w:rsidRPr="00DA083C">
              <w:rPr>
                <w:sz w:val="16"/>
                <w:szCs w:val="16"/>
              </w:rPr>
              <w:t>. Taktiež navrhujeme uvádzať hodnoty jednotlivých parametrov, ktoré boli pri výpočtoch použité.</w:t>
            </w:r>
            <w:r w:rsidR="000860FC" w:rsidRPr="00DA083C">
              <w:rPr>
                <w:sz w:val="16"/>
                <w:szCs w:val="16"/>
              </w:rPr>
              <w:t xml:space="preserve"> </w:t>
            </w:r>
            <w:r w:rsidR="002B7FA6" w:rsidRPr="00DA083C">
              <w:rPr>
                <w:sz w:val="16"/>
                <w:szCs w:val="16"/>
              </w:rPr>
              <w:t xml:space="preserve">Cieľom </w:t>
            </w:r>
            <w:r w:rsidR="00F65DCC" w:rsidRPr="00DA083C">
              <w:rPr>
                <w:sz w:val="16"/>
                <w:szCs w:val="16"/>
              </w:rPr>
              <w:t xml:space="preserve">navrhovaného </w:t>
            </w:r>
            <w:r w:rsidR="002B7FA6" w:rsidRPr="00DA083C">
              <w:rPr>
                <w:sz w:val="16"/>
                <w:szCs w:val="16"/>
              </w:rPr>
              <w:t>rozšírenia je vyššia zrozumiteľnosť výstupu ako aj transparentnosť vstupov výpočtu.</w:t>
            </w:r>
          </w:p>
          <w:p w14:paraId="7CC11324" w14:textId="355D79DE" w:rsidR="00773A84" w:rsidRPr="00DA083C" w:rsidRDefault="00773A84" w:rsidP="00773A84">
            <w:pPr>
              <w:jc w:val="both"/>
              <w:rPr>
                <w:sz w:val="16"/>
                <w:szCs w:val="16"/>
              </w:rPr>
            </w:pPr>
          </w:p>
        </w:tc>
        <w:tc>
          <w:tcPr>
            <w:tcW w:w="855" w:type="dxa"/>
            <w:vAlign w:val="center"/>
          </w:tcPr>
          <w:p w14:paraId="16084DEF" w14:textId="6B469FBB" w:rsidR="00773A84" w:rsidRPr="00DA083C" w:rsidRDefault="008666D8" w:rsidP="00773A84">
            <w:pPr>
              <w:jc w:val="center"/>
              <w:rPr>
                <w:sz w:val="16"/>
                <w:szCs w:val="16"/>
                <w:highlight w:val="cyan"/>
              </w:rPr>
            </w:pPr>
            <w:r w:rsidRPr="00DA083C">
              <w:rPr>
                <w:sz w:val="16"/>
                <w:szCs w:val="16"/>
              </w:rPr>
              <w:t>obyčajná</w:t>
            </w:r>
          </w:p>
        </w:tc>
      </w:tr>
      <w:tr w:rsidR="00933963" w:rsidRPr="00DA083C" w14:paraId="09552822" w14:textId="77777777" w:rsidTr="001003B1">
        <w:trPr>
          <w:trHeight w:val="468"/>
          <w:jc w:val="center"/>
        </w:trPr>
        <w:tc>
          <w:tcPr>
            <w:tcW w:w="805" w:type="dxa"/>
            <w:vAlign w:val="center"/>
          </w:tcPr>
          <w:p w14:paraId="4712FDB8" w14:textId="54273AAF" w:rsidR="00933963" w:rsidRPr="00DA083C" w:rsidRDefault="00933963" w:rsidP="00933963">
            <w:pPr>
              <w:rPr>
                <w:sz w:val="16"/>
                <w:szCs w:val="16"/>
              </w:rPr>
            </w:pPr>
            <w:r w:rsidRPr="00DA083C">
              <w:rPr>
                <w:sz w:val="16"/>
                <w:szCs w:val="16"/>
              </w:rPr>
              <w:t>KRRZ</w:t>
            </w:r>
          </w:p>
        </w:tc>
        <w:tc>
          <w:tcPr>
            <w:tcW w:w="1033" w:type="dxa"/>
            <w:vAlign w:val="center"/>
          </w:tcPr>
          <w:p w14:paraId="3E9C58AE" w14:textId="0D00E300" w:rsidR="00933963" w:rsidRPr="00DA083C" w:rsidRDefault="00933963" w:rsidP="00933963">
            <w:pPr>
              <w:jc w:val="center"/>
              <w:rPr>
                <w:sz w:val="16"/>
                <w:szCs w:val="16"/>
              </w:rPr>
            </w:pPr>
            <w:r w:rsidRPr="00DA083C">
              <w:rPr>
                <w:sz w:val="16"/>
                <w:szCs w:val="16"/>
              </w:rPr>
              <w:t>Čl. I Bod 36</w:t>
            </w:r>
          </w:p>
        </w:tc>
        <w:tc>
          <w:tcPr>
            <w:tcW w:w="6946" w:type="dxa"/>
            <w:vAlign w:val="center"/>
          </w:tcPr>
          <w:p w14:paraId="7EAB9B65" w14:textId="77777777" w:rsidR="009E614A" w:rsidRPr="00DA083C" w:rsidRDefault="009E614A" w:rsidP="00410386">
            <w:pPr>
              <w:jc w:val="both"/>
              <w:rPr>
                <w:sz w:val="16"/>
                <w:szCs w:val="16"/>
              </w:rPr>
            </w:pPr>
          </w:p>
          <w:p w14:paraId="1370732C" w14:textId="6836094C" w:rsidR="00D852C0" w:rsidRPr="00DA083C" w:rsidRDefault="009E614A" w:rsidP="00410386">
            <w:pPr>
              <w:jc w:val="both"/>
              <w:rPr>
                <w:b/>
                <w:bCs/>
                <w:sz w:val="16"/>
                <w:szCs w:val="16"/>
              </w:rPr>
            </w:pPr>
            <w:r w:rsidRPr="00DA083C">
              <w:rPr>
                <w:b/>
                <w:bCs/>
                <w:sz w:val="16"/>
                <w:szCs w:val="16"/>
              </w:rPr>
              <w:t>Zavedenie rodičovského dôchodku</w:t>
            </w:r>
            <w:r w:rsidR="00410386" w:rsidRPr="00DA083C">
              <w:rPr>
                <w:b/>
                <w:bCs/>
                <w:sz w:val="16"/>
                <w:szCs w:val="16"/>
              </w:rPr>
              <w:t xml:space="preserve"> </w:t>
            </w:r>
            <w:r w:rsidR="00D852C0" w:rsidRPr="00DA083C">
              <w:rPr>
                <w:b/>
                <w:bCs/>
                <w:sz w:val="16"/>
                <w:szCs w:val="16"/>
              </w:rPr>
              <w:t xml:space="preserve">zhoršuje </w:t>
            </w:r>
            <w:r w:rsidR="00410386" w:rsidRPr="00DA083C">
              <w:rPr>
                <w:b/>
                <w:bCs/>
                <w:sz w:val="16"/>
                <w:szCs w:val="16"/>
              </w:rPr>
              <w:t>dlhodobú udržateľnosť</w:t>
            </w:r>
            <w:r w:rsidR="00D852C0" w:rsidRPr="00DA083C">
              <w:rPr>
                <w:b/>
                <w:bCs/>
                <w:sz w:val="16"/>
                <w:szCs w:val="16"/>
              </w:rPr>
              <w:t xml:space="preserve"> </w:t>
            </w:r>
            <w:r w:rsidR="007B1AED" w:rsidRPr="00DA083C">
              <w:rPr>
                <w:b/>
                <w:bCs/>
                <w:sz w:val="16"/>
                <w:szCs w:val="16"/>
              </w:rPr>
              <w:t xml:space="preserve">podľa doložky vplyvov </w:t>
            </w:r>
            <w:r w:rsidR="00D852C0" w:rsidRPr="00DA083C">
              <w:rPr>
                <w:b/>
                <w:bCs/>
                <w:sz w:val="16"/>
                <w:szCs w:val="16"/>
              </w:rPr>
              <w:t>o približne 0,</w:t>
            </w:r>
            <w:r w:rsidR="007B1AED" w:rsidRPr="00DA083C">
              <w:rPr>
                <w:b/>
                <w:bCs/>
                <w:sz w:val="16"/>
                <w:szCs w:val="16"/>
              </w:rPr>
              <w:t>6</w:t>
            </w:r>
            <w:r w:rsidR="00D852C0" w:rsidRPr="00DA083C">
              <w:rPr>
                <w:b/>
                <w:bCs/>
                <w:sz w:val="16"/>
                <w:szCs w:val="16"/>
              </w:rPr>
              <w:t>% HDP</w:t>
            </w:r>
            <w:r w:rsidR="006F75FA" w:rsidRPr="00DA083C">
              <w:rPr>
                <w:b/>
                <w:bCs/>
                <w:sz w:val="16"/>
                <w:szCs w:val="16"/>
              </w:rPr>
              <w:t xml:space="preserve"> a má okamžitý</w:t>
            </w:r>
            <w:r w:rsidR="005B19C9" w:rsidRPr="00DA083C">
              <w:rPr>
                <w:b/>
                <w:bCs/>
                <w:sz w:val="16"/>
                <w:szCs w:val="16"/>
              </w:rPr>
              <w:t xml:space="preserve"> negatívny vplyv</w:t>
            </w:r>
            <w:r w:rsidR="009F236F" w:rsidRPr="00DA083C">
              <w:rPr>
                <w:b/>
                <w:bCs/>
                <w:sz w:val="16"/>
                <w:szCs w:val="16"/>
              </w:rPr>
              <w:t xml:space="preserve"> na </w:t>
            </w:r>
            <w:r w:rsidR="00C36EA4" w:rsidRPr="00DA083C">
              <w:rPr>
                <w:b/>
                <w:bCs/>
                <w:sz w:val="16"/>
                <w:szCs w:val="16"/>
              </w:rPr>
              <w:t xml:space="preserve">deficit </w:t>
            </w:r>
            <w:r w:rsidR="007E3354" w:rsidRPr="00DA083C">
              <w:rPr>
                <w:b/>
                <w:bCs/>
                <w:sz w:val="16"/>
                <w:szCs w:val="16"/>
              </w:rPr>
              <w:t>verejných financií</w:t>
            </w:r>
            <w:r w:rsidR="008409DA" w:rsidRPr="00DA083C">
              <w:rPr>
                <w:b/>
                <w:bCs/>
                <w:sz w:val="16"/>
                <w:szCs w:val="16"/>
              </w:rPr>
              <w:t xml:space="preserve"> ako aj </w:t>
            </w:r>
            <w:r w:rsidR="00980B5A" w:rsidRPr="00DA083C">
              <w:rPr>
                <w:b/>
                <w:bCs/>
                <w:sz w:val="16"/>
                <w:szCs w:val="16"/>
              </w:rPr>
              <w:t xml:space="preserve">vývoj </w:t>
            </w:r>
            <w:r w:rsidR="008409DA" w:rsidRPr="00DA083C">
              <w:rPr>
                <w:b/>
                <w:bCs/>
                <w:sz w:val="16"/>
                <w:szCs w:val="16"/>
              </w:rPr>
              <w:t>dlh</w:t>
            </w:r>
            <w:r w:rsidR="00980B5A" w:rsidRPr="00DA083C">
              <w:rPr>
                <w:b/>
                <w:bCs/>
                <w:sz w:val="16"/>
                <w:szCs w:val="16"/>
              </w:rPr>
              <w:t>u</w:t>
            </w:r>
            <w:r w:rsidR="00D852C0" w:rsidRPr="00DA083C">
              <w:rPr>
                <w:sz w:val="16"/>
                <w:szCs w:val="16"/>
              </w:rPr>
              <w:t xml:space="preserve">. Toto opatrenie ovplyvňuje </w:t>
            </w:r>
            <w:r w:rsidR="00410386" w:rsidRPr="00DA083C">
              <w:rPr>
                <w:sz w:val="16"/>
                <w:szCs w:val="16"/>
              </w:rPr>
              <w:t xml:space="preserve">redistribúciu v rámci žijúcich generácií poistencov a dôchodcov a medzigeneračnú spravodlivosť. </w:t>
            </w:r>
            <w:r w:rsidR="00D852C0" w:rsidRPr="00DA083C">
              <w:rPr>
                <w:sz w:val="16"/>
                <w:szCs w:val="16"/>
              </w:rPr>
              <w:t>Aj napriek tomu, že existencia rodičovského dôchodku je už garantovaná Ústavou SR od 1.1.2023 (prijat</w:t>
            </w:r>
            <w:r w:rsidR="006D0784" w:rsidRPr="00DA083C">
              <w:rPr>
                <w:sz w:val="16"/>
                <w:szCs w:val="16"/>
              </w:rPr>
              <w:t>é</w:t>
            </w:r>
            <w:r w:rsidR="00D852C0" w:rsidRPr="00DA083C">
              <w:rPr>
                <w:sz w:val="16"/>
                <w:szCs w:val="16"/>
              </w:rPr>
              <w:t xml:space="preserve"> bez </w:t>
            </w:r>
            <w:r w:rsidR="00FF156C" w:rsidRPr="00DA083C">
              <w:rPr>
                <w:sz w:val="16"/>
                <w:szCs w:val="16"/>
              </w:rPr>
              <w:t>štandardného legislatívneho procesu</w:t>
            </w:r>
            <w:r w:rsidR="000A6ADD" w:rsidRPr="00DA083C">
              <w:rPr>
                <w:sz w:val="16"/>
                <w:szCs w:val="16"/>
              </w:rPr>
              <w:t xml:space="preserve"> a dostatočnej</w:t>
            </w:r>
            <w:r w:rsidR="00D852C0" w:rsidRPr="00DA083C">
              <w:rPr>
                <w:sz w:val="16"/>
                <w:szCs w:val="16"/>
              </w:rPr>
              <w:t xml:space="preserve"> diskusie), považuje KRRZ za vhodnejšie v</w:t>
            </w:r>
            <w:r w:rsidR="00410386" w:rsidRPr="00DA083C">
              <w:rPr>
                <w:sz w:val="16"/>
                <w:szCs w:val="16"/>
              </w:rPr>
              <w:t>zhľadom na historick</w:t>
            </w:r>
            <w:r w:rsidR="00D852C0" w:rsidRPr="00DA083C">
              <w:rPr>
                <w:sz w:val="16"/>
                <w:szCs w:val="16"/>
              </w:rPr>
              <w:t xml:space="preserve">é </w:t>
            </w:r>
            <w:r w:rsidR="00410386" w:rsidRPr="00DA083C">
              <w:rPr>
                <w:sz w:val="16"/>
                <w:szCs w:val="16"/>
              </w:rPr>
              <w:t>skúsenos</w:t>
            </w:r>
            <w:r w:rsidR="00D852C0" w:rsidRPr="00DA083C">
              <w:rPr>
                <w:sz w:val="16"/>
                <w:szCs w:val="16"/>
              </w:rPr>
              <w:t>ti</w:t>
            </w:r>
            <w:r w:rsidR="00410386" w:rsidRPr="00DA083C">
              <w:rPr>
                <w:sz w:val="16"/>
                <w:szCs w:val="16"/>
              </w:rPr>
              <w:t xml:space="preserve"> Slovenska s častými, chaotickými a neraz protichodnými zmenami dôchodkového systému, aby významným zmenám v dôchodkovom systému predkladanými do MPK predchádzala celospoločenská diskusia.</w:t>
            </w:r>
            <w:r w:rsidR="00DB317A" w:rsidRPr="00DA083C">
              <w:rPr>
                <w:sz w:val="16"/>
                <w:szCs w:val="16"/>
              </w:rPr>
              <w:t xml:space="preserve"> </w:t>
            </w:r>
            <w:r w:rsidR="00FB3AD4" w:rsidRPr="00DA083C">
              <w:rPr>
                <w:sz w:val="16"/>
                <w:szCs w:val="16"/>
              </w:rPr>
              <w:t xml:space="preserve">Aj preto </w:t>
            </w:r>
            <w:r w:rsidR="004C4238" w:rsidRPr="00DA083C">
              <w:rPr>
                <w:b/>
                <w:bCs/>
                <w:sz w:val="16"/>
                <w:szCs w:val="16"/>
              </w:rPr>
              <w:t xml:space="preserve">navrhujeme, aby navrhovateľ </w:t>
            </w:r>
            <w:r w:rsidR="000E3716" w:rsidRPr="00DA083C">
              <w:rPr>
                <w:b/>
                <w:bCs/>
                <w:sz w:val="16"/>
                <w:szCs w:val="16"/>
              </w:rPr>
              <w:t xml:space="preserve">prehodnotil </w:t>
            </w:r>
            <w:r w:rsidR="004C4238" w:rsidRPr="00DA083C">
              <w:rPr>
                <w:b/>
                <w:bCs/>
                <w:sz w:val="16"/>
                <w:szCs w:val="16"/>
              </w:rPr>
              <w:t xml:space="preserve">nastavenie veľkosti rodičovského dôchodku v kontexte výšky </w:t>
            </w:r>
            <w:r w:rsidR="000E3716" w:rsidRPr="00DA083C">
              <w:rPr>
                <w:b/>
                <w:bCs/>
                <w:sz w:val="16"/>
                <w:szCs w:val="16"/>
              </w:rPr>
              <w:t xml:space="preserve">už dnes </w:t>
            </w:r>
            <w:r w:rsidR="004C4238" w:rsidRPr="00DA083C">
              <w:rPr>
                <w:b/>
                <w:bCs/>
                <w:sz w:val="16"/>
                <w:szCs w:val="16"/>
              </w:rPr>
              <w:t>vyplácaného trinásteho dôchodku, prípadne zvážil úplné zrušeni</w:t>
            </w:r>
            <w:r w:rsidR="00345A06" w:rsidRPr="00DA083C">
              <w:rPr>
                <w:b/>
                <w:bCs/>
                <w:sz w:val="16"/>
                <w:szCs w:val="16"/>
              </w:rPr>
              <w:t>e</w:t>
            </w:r>
            <w:r w:rsidR="004C4238" w:rsidRPr="00DA083C">
              <w:rPr>
                <w:b/>
                <w:bCs/>
                <w:sz w:val="16"/>
                <w:szCs w:val="16"/>
              </w:rPr>
              <w:t xml:space="preserve"> trinásteho dôchodku. </w:t>
            </w:r>
          </w:p>
          <w:p w14:paraId="0F02E714" w14:textId="2B77291F" w:rsidR="00410386" w:rsidRPr="00DA083C" w:rsidRDefault="00410386" w:rsidP="00D852C0">
            <w:pPr>
              <w:jc w:val="both"/>
              <w:rPr>
                <w:sz w:val="16"/>
                <w:szCs w:val="16"/>
              </w:rPr>
            </w:pPr>
          </w:p>
        </w:tc>
        <w:tc>
          <w:tcPr>
            <w:tcW w:w="855" w:type="dxa"/>
            <w:vAlign w:val="center"/>
          </w:tcPr>
          <w:p w14:paraId="7D6791E6" w14:textId="6986A3A8" w:rsidR="00933963" w:rsidRPr="00DA083C" w:rsidRDefault="005A4223" w:rsidP="00933963">
            <w:pPr>
              <w:jc w:val="center"/>
              <w:rPr>
                <w:sz w:val="16"/>
                <w:szCs w:val="16"/>
              </w:rPr>
            </w:pPr>
            <w:r w:rsidRPr="00DA083C">
              <w:rPr>
                <w:sz w:val="16"/>
                <w:szCs w:val="16"/>
              </w:rPr>
              <w:t>zásadná</w:t>
            </w:r>
          </w:p>
        </w:tc>
      </w:tr>
      <w:tr w:rsidR="009E614A" w:rsidRPr="00DA083C" w14:paraId="3258E8E7" w14:textId="77777777" w:rsidTr="001003B1">
        <w:trPr>
          <w:trHeight w:val="468"/>
          <w:jc w:val="center"/>
        </w:trPr>
        <w:tc>
          <w:tcPr>
            <w:tcW w:w="805" w:type="dxa"/>
            <w:vAlign w:val="center"/>
          </w:tcPr>
          <w:p w14:paraId="2D0F61D0" w14:textId="10FEC4A4" w:rsidR="009E614A" w:rsidRPr="00DA083C" w:rsidRDefault="009E614A" w:rsidP="009E614A">
            <w:pPr>
              <w:rPr>
                <w:sz w:val="16"/>
                <w:szCs w:val="16"/>
              </w:rPr>
            </w:pPr>
            <w:r w:rsidRPr="00DA083C">
              <w:rPr>
                <w:sz w:val="16"/>
                <w:szCs w:val="16"/>
              </w:rPr>
              <w:t>KRRZ</w:t>
            </w:r>
          </w:p>
        </w:tc>
        <w:tc>
          <w:tcPr>
            <w:tcW w:w="1033" w:type="dxa"/>
            <w:vAlign w:val="center"/>
          </w:tcPr>
          <w:p w14:paraId="42283A02" w14:textId="18CA822D" w:rsidR="009E614A" w:rsidRPr="00DA083C" w:rsidRDefault="009E614A" w:rsidP="009E614A">
            <w:pPr>
              <w:jc w:val="center"/>
              <w:rPr>
                <w:sz w:val="16"/>
                <w:szCs w:val="16"/>
              </w:rPr>
            </w:pPr>
            <w:r w:rsidRPr="00DA083C">
              <w:rPr>
                <w:sz w:val="16"/>
                <w:szCs w:val="16"/>
              </w:rPr>
              <w:t>Čl. I Bod 36</w:t>
            </w:r>
          </w:p>
        </w:tc>
        <w:tc>
          <w:tcPr>
            <w:tcW w:w="6946" w:type="dxa"/>
            <w:vAlign w:val="center"/>
          </w:tcPr>
          <w:p w14:paraId="3C20F715" w14:textId="284FD3D0" w:rsidR="009E614A" w:rsidRPr="00DA083C" w:rsidRDefault="00082355" w:rsidP="00082355">
            <w:pPr>
              <w:jc w:val="both"/>
              <w:rPr>
                <w:bCs/>
                <w:sz w:val="16"/>
                <w:szCs w:val="16"/>
              </w:rPr>
            </w:pPr>
            <w:r w:rsidRPr="00DA083C">
              <w:rPr>
                <w:bCs/>
                <w:sz w:val="16"/>
                <w:szCs w:val="16"/>
              </w:rPr>
              <w:t xml:space="preserve">Podľa názoru KRRZ </w:t>
            </w:r>
            <w:r w:rsidR="00E92F31" w:rsidRPr="00DA083C">
              <w:rPr>
                <w:bCs/>
                <w:sz w:val="16"/>
                <w:szCs w:val="16"/>
              </w:rPr>
              <w:t>môže byť</w:t>
            </w:r>
            <w:r w:rsidRPr="00DA083C">
              <w:rPr>
                <w:bCs/>
                <w:sz w:val="16"/>
                <w:szCs w:val="16"/>
              </w:rPr>
              <w:t xml:space="preserve"> </w:t>
            </w:r>
            <w:r w:rsidRPr="00DA083C">
              <w:rPr>
                <w:b/>
                <w:sz w:val="16"/>
                <w:szCs w:val="16"/>
              </w:rPr>
              <w:t>spôsob zavedenia rodičovského dôchodku ústavne problematický</w:t>
            </w:r>
            <w:r w:rsidRPr="00DA083C">
              <w:rPr>
                <w:bCs/>
                <w:sz w:val="16"/>
                <w:szCs w:val="16"/>
              </w:rPr>
              <w:t xml:space="preserve">. Podľa osobitnej časti dôvodovej správy k čl. I bodu 36 sa automatický vznik nároku u vlastných detí a osvojiteľov navrhuje vzhľadom na veľký okruh dotknutých osôb, resp. z dôvodu zabezpečenia administratívnej vykonateľnosti. </w:t>
            </w:r>
            <w:r w:rsidRPr="00DA083C">
              <w:rPr>
                <w:b/>
                <w:sz w:val="16"/>
                <w:szCs w:val="16"/>
              </w:rPr>
              <w:t>Automatický vznik nároku bez aktívneho prejavu vôle oprávnenej osoby považujeme za ústavne problematický z troch dôvodov</w:t>
            </w:r>
            <w:r w:rsidRPr="00DA083C">
              <w:rPr>
                <w:bCs/>
                <w:sz w:val="16"/>
                <w:szCs w:val="16"/>
              </w:rPr>
              <w:t>:</w:t>
            </w:r>
          </w:p>
          <w:p w14:paraId="7B140CF1" w14:textId="77777777" w:rsidR="00C74967" w:rsidRPr="00DA083C" w:rsidRDefault="00C74967" w:rsidP="00082355">
            <w:pPr>
              <w:jc w:val="both"/>
              <w:rPr>
                <w:bCs/>
                <w:sz w:val="16"/>
                <w:szCs w:val="16"/>
              </w:rPr>
            </w:pPr>
          </w:p>
          <w:p w14:paraId="778F3EBD" w14:textId="77777777" w:rsidR="005C0D46" w:rsidRPr="00DA083C" w:rsidRDefault="005C0D46" w:rsidP="005C0D46">
            <w:pPr>
              <w:jc w:val="both"/>
              <w:rPr>
                <w:bCs/>
                <w:sz w:val="16"/>
                <w:szCs w:val="16"/>
              </w:rPr>
            </w:pPr>
            <w:r w:rsidRPr="00DA083C">
              <w:rPr>
                <w:bCs/>
                <w:sz w:val="16"/>
                <w:szCs w:val="16"/>
              </w:rPr>
              <w:t xml:space="preserve">(i) Podľa schváleného znenia čl. 39 ods. 5 ústavy, ktoré nadobudne účinnosť 1. januára 2023, </w:t>
            </w:r>
            <w:r w:rsidRPr="00DA083C">
              <w:rPr>
                <w:b/>
                <w:sz w:val="16"/>
                <w:szCs w:val="16"/>
              </w:rPr>
              <w:t>má každý právo rozhodnúť, že časť uhradených odvodov (zjednodušene) bude poskytnutá osobe, ktorá ho vychovala a ktorej je poskytované hmotné zabezpečenie v starobe</w:t>
            </w:r>
            <w:r w:rsidRPr="00DA083C">
              <w:rPr>
                <w:bCs/>
                <w:sz w:val="16"/>
                <w:szCs w:val="16"/>
              </w:rPr>
              <w:t xml:space="preserve">. Výkon práva podľa prvej vety nesmie mať negatívny vplyv na primerané hmotné zabezpečenie v starobe. Formulácia „výkon práva“ </w:t>
            </w:r>
            <w:r w:rsidRPr="00DA083C">
              <w:rPr>
                <w:b/>
                <w:sz w:val="16"/>
                <w:szCs w:val="16"/>
              </w:rPr>
              <w:t>predpokladá aktívny prejav vôle oprávnenej osoby</w:t>
            </w:r>
            <w:r w:rsidRPr="00DA083C">
              <w:rPr>
                <w:bCs/>
                <w:sz w:val="16"/>
                <w:szCs w:val="16"/>
              </w:rPr>
              <w:t>, a rovnako je chápané slovo „výkon“ aj pri iných základných právach. Podľa čl. 28 ods. 2 ustanoví podmienky výkonu práva pokojne sa zhromažďovať zákon. Zhromažďovacie právo nemôže byť vykonávané bez aktívneho prejavu vôle danej osoby. O výkone práv v rovnakom zmysle sa zmieňuje čl. 29 ods. 3, a to vo vzťahu k združovaciemu právu. Ani pri združovacom práve nie je možné urobiť fikciu, že určitá osoba je členom spolku alebo politickej strany automaticky, a členom nie je len v prípade prejavu vôle sa ním nestať. Taktiež v zmysle čl. 30 ods. 3 druhej vety ustanoví podmienky výkonu volebného práva zákon. Je vylúčené, že by vykonávací zákon ustanovil fikciu, že občania, ktorí aktívne volebné právo nevyužili, hlasovali automaticky za určitý subjekt, okrem prípadu aktívne prejaveného nesúhlasu. Rovnako podľa čl. 34 ods. 4 nesmie výkon práv občanov patriacich k národnostným menšinám a etnickým skupinám viesť k ohrozeniu zvrchovanosti a územnej celistvosti štátu a k diskriminácii ostatného obyvateľstva. Aj tento článok chápe „výkon práv“ ako aktívne konanie. Pri tejto konštrukcii možno bez problému hovoriť o zásahu do práva dieťaťa podľa čl. 39 ods. 5. Vlastné autonómne rozhodnutie vykonať právo nemožno nahradiť fikciou bez toho, aby sa zasiahlo do jeho podstaty.</w:t>
            </w:r>
          </w:p>
          <w:p w14:paraId="4D66D677" w14:textId="77777777" w:rsidR="005C0D46" w:rsidRPr="00DA083C" w:rsidRDefault="005C0D46" w:rsidP="005C0D46">
            <w:pPr>
              <w:jc w:val="both"/>
              <w:rPr>
                <w:bCs/>
                <w:sz w:val="16"/>
                <w:szCs w:val="16"/>
              </w:rPr>
            </w:pPr>
          </w:p>
          <w:p w14:paraId="7D3E6C2B" w14:textId="6A31EB13" w:rsidR="005C0D46" w:rsidRPr="00DA083C" w:rsidRDefault="005C0D46" w:rsidP="005C0D46">
            <w:pPr>
              <w:jc w:val="both"/>
              <w:rPr>
                <w:bCs/>
                <w:sz w:val="16"/>
                <w:szCs w:val="16"/>
              </w:rPr>
            </w:pPr>
            <w:r w:rsidRPr="00DA083C">
              <w:rPr>
                <w:bCs/>
                <w:sz w:val="16"/>
                <w:szCs w:val="16"/>
              </w:rPr>
              <w:t xml:space="preserve">(ii) Ústavodarca schválil v decembri 2020 rodičovský bonus podľa inej koncepcie, než bola pôvodne predložená do medzirezortného pripomienkového konania. Podľa čl. 8 ods. 1 pôvodnej verzie mala mať osoba, ktorej je poskytovaný starobný dôchodok zo starobného dôchodkového zabezpečenia a ktorá vychovala dieťa, nárok na príplatok k starobnému dôchodku zo starobného dôchodkového zabezpečenia v sume časti uhradenej povinnej platby spojenej s účasťou dieťaťa, ktoré vychovala, na starobnom dôchodkovom zabezpečení. Táto koncepcia bola odmietnutá (predovšetkým z dôvodu diskriminácie bezdetných osôb, osôb so zdravotne znevýhodnenými deťmi alebo s deťmi pracujúcimi v zahraničí, na čo </w:t>
            </w:r>
            <w:r w:rsidRPr="00DA083C">
              <w:rPr>
                <w:bCs/>
                <w:sz w:val="16"/>
                <w:szCs w:val="16"/>
              </w:rPr>
              <w:lastRenderedPageBreak/>
              <w:t xml:space="preserve">upozorňovala okrem iného Kancelária verejného ochrancu práv) a nahradená iným systémom – odlišné zaobchádzanie nie je výsledkom aktivity štátu, ale jednotlivca. Predložený návrh zavádzajúci automatický vznik nároku bez aktívneho prejavu vôle oprávnenej osoby vedie vo výsledku k odlišnému zaobchádzaniu na základe aktivity štátu, nie jednotlivca. Pokiaľ tento koncept odmietol ústavodarca, nemôže byť zavedený prostredníctvom podústavnej úpravy. Táto zákonná úprava vlastne v „prezlečenej“ forme zavádza to, čo sa nepodarilo zaviesť do ústavy, hoci pôvodne taký zámer bol. Z toho, čo ústava koncipuje ako právo dieťaťa smerom k rodičovi, </w:t>
            </w:r>
            <w:r w:rsidRPr="00DA083C">
              <w:rPr>
                <w:b/>
                <w:sz w:val="16"/>
                <w:szCs w:val="16"/>
              </w:rPr>
              <w:t>tento zákon fakticky robí právo rodiča smerom k dieťaťu.</w:t>
            </w:r>
            <w:r w:rsidRPr="00DA083C">
              <w:rPr>
                <w:bCs/>
                <w:sz w:val="16"/>
                <w:szCs w:val="16"/>
              </w:rPr>
              <w:t xml:space="preserve"> Dieťaťu sa síce ponecháva možnosť rozhodnúť, že rodič nárok mať nebude, ale v praktickej rovine treba počítať s tým, že túto možnosť nevyužijú mnohé z tých detí, ktoré by inak aktívne nevykonali právo ustanoviť rodičovi rodičovský dôchodok. Vylúčiť sa nedajú ani psychologické zábrany, v horšom prípade citové vydieranie, ktoré budú deťom brániť vykonať aktívny krok „proti“ svojmu rodičovi. Pri rešpektovaní schváleného znenia ústavy (ide o právo dieťaťa, nie rodiča) by mali reálne oveľa väčšiu slobodu rozhodnúť sa, či aktívne </w:t>
            </w:r>
            <w:r w:rsidR="009A23EE" w:rsidRPr="00DA083C">
              <w:rPr>
                <w:sz w:val="16"/>
                <w:szCs w:val="16"/>
              </w:rPr>
              <w:t>svoje</w:t>
            </w:r>
            <w:r w:rsidR="009A23EE" w:rsidRPr="00DA083C">
              <w:rPr>
                <w:bCs/>
                <w:sz w:val="16"/>
                <w:szCs w:val="16"/>
              </w:rPr>
              <w:t xml:space="preserve"> </w:t>
            </w:r>
            <w:r w:rsidRPr="00DA083C">
              <w:rPr>
                <w:bCs/>
                <w:sz w:val="16"/>
                <w:szCs w:val="16"/>
              </w:rPr>
              <w:t xml:space="preserve">právo vykonajú. </w:t>
            </w:r>
            <w:r w:rsidRPr="00DA083C">
              <w:rPr>
                <w:b/>
                <w:sz w:val="16"/>
                <w:szCs w:val="16"/>
              </w:rPr>
              <w:t>Navrhovaný koncept zákonnej úpravy pôsobí dojmom, že aktívny krok dieťaťa bude vnímaný ako siahnutie na „práva“ rodiča</w:t>
            </w:r>
            <w:r w:rsidRPr="00DA083C">
              <w:rPr>
                <w:bCs/>
                <w:sz w:val="16"/>
                <w:szCs w:val="16"/>
              </w:rPr>
              <w:t xml:space="preserve">. </w:t>
            </w:r>
          </w:p>
          <w:p w14:paraId="5EC89EC3" w14:textId="77777777" w:rsidR="005C0D46" w:rsidRPr="00DA083C" w:rsidRDefault="005C0D46" w:rsidP="005C0D46">
            <w:pPr>
              <w:jc w:val="both"/>
              <w:rPr>
                <w:bCs/>
                <w:sz w:val="16"/>
                <w:szCs w:val="16"/>
              </w:rPr>
            </w:pPr>
          </w:p>
          <w:p w14:paraId="26E289CD" w14:textId="05677A32" w:rsidR="00082355" w:rsidRPr="00DA083C" w:rsidRDefault="005C0D46" w:rsidP="005C0D46">
            <w:pPr>
              <w:jc w:val="both"/>
              <w:rPr>
                <w:bCs/>
                <w:sz w:val="16"/>
                <w:szCs w:val="16"/>
              </w:rPr>
            </w:pPr>
            <w:r w:rsidRPr="00DA083C">
              <w:rPr>
                <w:bCs/>
                <w:sz w:val="16"/>
                <w:szCs w:val="16"/>
              </w:rPr>
              <w:t xml:space="preserve">(iii) Zákon o rokovacom poriadku v § 96 ods. 1 ukladá povinnosť použiť pri výklade a uplatňovaní schváleného predpisu písomné odôvodnenie schválených zmien a doplnkov. </w:t>
            </w:r>
            <w:r w:rsidRPr="00DA083C">
              <w:rPr>
                <w:b/>
                <w:sz w:val="16"/>
                <w:szCs w:val="16"/>
              </w:rPr>
              <w:t xml:space="preserve">Znenie čl. 39 ods. 5 </w:t>
            </w:r>
            <w:r w:rsidR="00D42978" w:rsidRPr="00DA083C">
              <w:rPr>
                <w:b/>
                <w:sz w:val="16"/>
                <w:szCs w:val="16"/>
              </w:rPr>
              <w:t xml:space="preserve">ústavy </w:t>
            </w:r>
            <w:r w:rsidRPr="00DA083C">
              <w:rPr>
                <w:b/>
                <w:sz w:val="16"/>
                <w:szCs w:val="16"/>
              </w:rPr>
              <w:t>je výsledkom schváleného pozmeňujúceho a doplňujúceho návrhu z druhého čítania, podľa ktorého mal byť nárok naviazaný na splnenie troch podmienok</w:t>
            </w:r>
            <w:r w:rsidRPr="00DA083C">
              <w:rPr>
                <w:bCs/>
                <w:sz w:val="16"/>
                <w:szCs w:val="16"/>
              </w:rPr>
              <w:t>. Hneď prvou malo byť „</w:t>
            </w:r>
            <w:r w:rsidRPr="00DA083C">
              <w:rPr>
                <w:b/>
                <w:sz w:val="16"/>
                <w:szCs w:val="16"/>
              </w:rPr>
              <w:t>rozhodnutie dieťaťa vyjadrujúceho vôľu takýmto spôsobom časť sumy asignovať na tento účel</w:t>
            </w:r>
            <w:r w:rsidRPr="00DA083C">
              <w:rPr>
                <w:bCs/>
                <w:sz w:val="16"/>
                <w:szCs w:val="16"/>
              </w:rPr>
              <w:t>“. Keďže navrhovaná zákonná úprava priznáva nárok bez rozhodnutia dieťaťa vyjadrujúceho vôľu asignovať, dostáva sa do rozporu s povinnosťou používať pri výklade a uplatňovaní schváleného predpisu písomné odôvodnenie schválených zmien a doplnkov. Ale dokonca aj bez tohto odôvodnenia ide o zrejmý zásah do práva dieťaťa, s ohľadom na jasnú dikciu čl. 39 ods. 5 „Každý má právo rozhodnúť...“</w:t>
            </w:r>
          </w:p>
          <w:p w14:paraId="338F1892" w14:textId="77777777" w:rsidR="00082355" w:rsidRPr="00DA083C" w:rsidRDefault="00082355" w:rsidP="00082355">
            <w:pPr>
              <w:jc w:val="both"/>
              <w:rPr>
                <w:bCs/>
                <w:sz w:val="16"/>
                <w:szCs w:val="16"/>
              </w:rPr>
            </w:pPr>
          </w:p>
          <w:p w14:paraId="1C464994" w14:textId="216179EC" w:rsidR="00082355" w:rsidRPr="00DA083C" w:rsidRDefault="00082355" w:rsidP="00082355">
            <w:pPr>
              <w:jc w:val="both"/>
              <w:rPr>
                <w:bCs/>
                <w:sz w:val="16"/>
                <w:szCs w:val="16"/>
                <w:highlight w:val="yellow"/>
              </w:rPr>
            </w:pPr>
          </w:p>
        </w:tc>
        <w:tc>
          <w:tcPr>
            <w:tcW w:w="855" w:type="dxa"/>
            <w:vAlign w:val="center"/>
          </w:tcPr>
          <w:p w14:paraId="4F8166FD" w14:textId="4E4F6D9B" w:rsidR="009E614A" w:rsidRPr="00DA083C" w:rsidRDefault="00C406C9" w:rsidP="009E614A">
            <w:pPr>
              <w:jc w:val="center"/>
              <w:rPr>
                <w:sz w:val="16"/>
                <w:szCs w:val="16"/>
              </w:rPr>
            </w:pPr>
            <w:r w:rsidRPr="00DA083C">
              <w:rPr>
                <w:sz w:val="16"/>
                <w:szCs w:val="16"/>
              </w:rPr>
              <w:lastRenderedPageBreak/>
              <w:t>zásadná</w:t>
            </w:r>
          </w:p>
        </w:tc>
      </w:tr>
      <w:tr w:rsidR="009E614A" w:rsidRPr="00DA083C" w14:paraId="61CF3D44" w14:textId="77777777" w:rsidTr="001003B1">
        <w:trPr>
          <w:trHeight w:val="468"/>
          <w:jc w:val="center"/>
        </w:trPr>
        <w:tc>
          <w:tcPr>
            <w:tcW w:w="805" w:type="dxa"/>
            <w:vAlign w:val="center"/>
          </w:tcPr>
          <w:p w14:paraId="7FF22B93" w14:textId="77777777" w:rsidR="009E614A" w:rsidRPr="00DA083C" w:rsidRDefault="009E614A" w:rsidP="009E614A">
            <w:pPr>
              <w:rPr>
                <w:sz w:val="16"/>
                <w:szCs w:val="16"/>
              </w:rPr>
            </w:pPr>
            <w:r w:rsidRPr="00DA083C">
              <w:rPr>
                <w:sz w:val="16"/>
                <w:szCs w:val="16"/>
              </w:rPr>
              <w:t>KRRZ</w:t>
            </w:r>
          </w:p>
        </w:tc>
        <w:tc>
          <w:tcPr>
            <w:tcW w:w="1033" w:type="dxa"/>
            <w:vAlign w:val="center"/>
          </w:tcPr>
          <w:p w14:paraId="087E912E" w14:textId="0F1833A5" w:rsidR="009E614A" w:rsidRPr="00DA083C" w:rsidRDefault="009E614A" w:rsidP="009E614A">
            <w:pPr>
              <w:jc w:val="center"/>
              <w:rPr>
                <w:sz w:val="16"/>
                <w:szCs w:val="16"/>
              </w:rPr>
            </w:pPr>
            <w:r w:rsidRPr="00DA083C">
              <w:rPr>
                <w:sz w:val="16"/>
                <w:szCs w:val="16"/>
              </w:rPr>
              <w:t>Čl. I Bod 37,39</w:t>
            </w:r>
          </w:p>
        </w:tc>
        <w:tc>
          <w:tcPr>
            <w:tcW w:w="6946" w:type="dxa"/>
            <w:vAlign w:val="center"/>
          </w:tcPr>
          <w:p w14:paraId="06A691B6" w14:textId="0ADF9E1B" w:rsidR="009E614A" w:rsidRPr="00DA083C" w:rsidRDefault="009E614A" w:rsidP="009E614A">
            <w:pPr>
              <w:jc w:val="both"/>
              <w:rPr>
                <w:sz w:val="16"/>
                <w:szCs w:val="16"/>
              </w:rPr>
            </w:pPr>
            <w:r w:rsidRPr="00DA083C">
              <w:rPr>
                <w:sz w:val="16"/>
                <w:szCs w:val="16"/>
              </w:rPr>
              <w:t xml:space="preserve">Z pohľadu zníženia rizika </w:t>
            </w:r>
            <w:r w:rsidR="0078660C" w:rsidRPr="00DA083C">
              <w:rPr>
                <w:sz w:val="16"/>
                <w:szCs w:val="16"/>
              </w:rPr>
              <w:t xml:space="preserve">zhoršenia </w:t>
            </w:r>
            <w:r w:rsidRPr="00DA083C">
              <w:rPr>
                <w:sz w:val="16"/>
                <w:szCs w:val="16"/>
              </w:rPr>
              <w:t>dlhodob</w:t>
            </w:r>
            <w:r w:rsidR="0078660C" w:rsidRPr="00DA083C">
              <w:rPr>
                <w:sz w:val="16"/>
                <w:szCs w:val="16"/>
              </w:rPr>
              <w:t>ej</w:t>
            </w:r>
            <w:r w:rsidRPr="00DA083C">
              <w:rPr>
                <w:sz w:val="16"/>
                <w:szCs w:val="16"/>
              </w:rPr>
              <w:t xml:space="preserve"> udržateľnos</w:t>
            </w:r>
            <w:r w:rsidR="0078660C" w:rsidRPr="00DA083C">
              <w:rPr>
                <w:sz w:val="16"/>
                <w:szCs w:val="16"/>
              </w:rPr>
              <w:t>ti</w:t>
            </w:r>
            <w:r w:rsidRPr="00DA083C">
              <w:rPr>
                <w:sz w:val="16"/>
                <w:szCs w:val="16"/>
              </w:rPr>
              <w:t xml:space="preserve"> KRRZ odporúča, aby podmienka dosiahnutia </w:t>
            </w:r>
            <w:r w:rsidRPr="00DA083C">
              <w:rPr>
                <w:b/>
                <w:bCs/>
                <w:sz w:val="16"/>
                <w:szCs w:val="16"/>
              </w:rPr>
              <w:t xml:space="preserve">minimálneho počtu odpracovaných rokov (40 rokov) </w:t>
            </w:r>
            <w:r w:rsidRPr="00DA083C">
              <w:rPr>
                <w:sz w:val="16"/>
                <w:szCs w:val="16"/>
              </w:rPr>
              <w:t>potrebná pre získanie nároku na predčasný starobný dôchodok</w:t>
            </w:r>
            <w:r w:rsidRPr="00DA083C">
              <w:rPr>
                <w:b/>
                <w:bCs/>
                <w:sz w:val="16"/>
                <w:szCs w:val="16"/>
              </w:rPr>
              <w:t xml:space="preserve"> bola automaticky každoročne upravovaná o rovnaký počet mesiacov ako dôchodkový vek </w:t>
            </w:r>
            <w:r w:rsidRPr="00DA083C">
              <w:rPr>
                <w:sz w:val="16"/>
                <w:szCs w:val="16"/>
              </w:rPr>
              <w:t xml:space="preserve">(muža resp. bezdetnej ženy). S podobným mechanizmom uvažoval už aj návrh ústavného zákona o primeranom hmotnom zabezpečení v starobe hoci nie v potrebnom rozsahu. V prípade zachovania aktuálneho znenia návrhu zákona odporúčame predkladateľovi, aby detailne zdôvodnil svoj návrh. </w:t>
            </w:r>
          </w:p>
          <w:p w14:paraId="195D09C1" w14:textId="68947557" w:rsidR="009E614A" w:rsidRPr="00DA083C" w:rsidRDefault="009E614A" w:rsidP="009E614A">
            <w:pPr>
              <w:jc w:val="both"/>
              <w:rPr>
                <w:sz w:val="16"/>
                <w:szCs w:val="16"/>
              </w:rPr>
            </w:pPr>
            <w:r w:rsidRPr="00DA083C">
              <w:rPr>
                <w:sz w:val="16"/>
                <w:szCs w:val="16"/>
              </w:rPr>
              <w:t xml:space="preserve"> </w:t>
            </w:r>
          </w:p>
          <w:p w14:paraId="300F19E4" w14:textId="4ECF8E1E" w:rsidR="009E614A" w:rsidRPr="00DA083C" w:rsidRDefault="009E614A" w:rsidP="009E614A">
            <w:pPr>
              <w:jc w:val="both"/>
              <w:rPr>
                <w:sz w:val="16"/>
                <w:szCs w:val="16"/>
              </w:rPr>
            </w:pPr>
            <w:r w:rsidRPr="00DA083C">
              <w:rPr>
                <w:sz w:val="16"/>
                <w:szCs w:val="16"/>
              </w:rPr>
              <w:t xml:space="preserve">Zdôvodnenie: Z pohľadu budúcich rizík pre verejné financie je dôležité, aby sa rozdiel medzi efektívnym (priemerným) vekom odchodu do dôchodku a zákonným dôchodkovým vekom výraznejšie neprehlboval a nedochádzalo tak k oslabeniu naviazania dôchodkového veku na strednú dĺžku života (a teda aj pozitívnych vplyvov na udržateľnosť verejných financií). </w:t>
            </w:r>
          </w:p>
          <w:p w14:paraId="7ADE0C6C" w14:textId="77777777" w:rsidR="009E614A" w:rsidRPr="00DA083C" w:rsidRDefault="009E614A" w:rsidP="009E614A">
            <w:pPr>
              <w:jc w:val="both"/>
              <w:rPr>
                <w:sz w:val="16"/>
                <w:szCs w:val="16"/>
              </w:rPr>
            </w:pPr>
          </w:p>
          <w:p w14:paraId="2425798D" w14:textId="0B8BFFC0" w:rsidR="009E614A" w:rsidRPr="00DA083C" w:rsidRDefault="009E614A" w:rsidP="009E614A">
            <w:pPr>
              <w:jc w:val="both"/>
              <w:rPr>
                <w:sz w:val="16"/>
                <w:szCs w:val="16"/>
              </w:rPr>
            </w:pPr>
            <w:r w:rsidRPr="00DA083C">
              <w:rPr>
                <w:sz w:val="16"/>
                <w:szCs w:val="16"/>
              </w:rPr>
              <w:t xml:space="preserve">Na jednej strane návrh zákona navrhuje naviazať vývoj dôchodkového veku na vývoj strednej dĺžky života, na druhej strane toto opatrenie podkopáva tým, že minimálny počet odpracovaných rokov pre vznik nároku na predčasný dôchodok má v čase ostať nezmenený vo výške 40 rokov. Pri takomto nastavení sa pri očakávanom raste strednej dĺžky života bude postupne: </w:t>
            </w:r>
          </w:p>
          <w:p w14:paraId="2079ABF3" w14:textId="77777777" w:rsidR="009E614A" w:rsidRPr="00DA083C" w:rsidRDefault="009E614A" w:rsidP="009E614A">
            <w:pPr>
              <w:pStyle w:val="ListParagraph"/>
              <w:numPr>
                <w:ilvl w:val="0"/>
                <w:numId w:val="3"/>
              </w:numPr>
              <w:jc w:val="both"/>
              <w:rPr>
                <w:sz w:val="16"/>
                <w:szCs w:val="16"/>
              </w:rPr>
            </w:pPr>
            <w:r w:rsidRPr="00DA083C">
              <w:rPr>
                <w:sz w:val="16"/>
                <w:szCs w:val="16"/>
              </w:rPr>
              <w:t>zväčšovať podiel ľudí odchádzajúcich do dôchodku predčasne a </w:t>
            </w:r>
          </w:p>
          <w:p w14:paraId="2B70D8D6" w14:textId="275ED176" w:rsidR="009E614A" w:rsidRPr="00DA083C" w:rsidRDefault="009E614A" w:rsidP="009E614A">
            <w:pPr>
              <w:pStyle w:val="ListParagraph"/>
              <w:numPr>
                <w:ilvl w:val="0"/>
                <w:numId w:val="3"/>
              </w:numPr>
              <w:jc w:val="both"/>
              <w:rPr>
                <w:sz w:val="16"/>
                <w:szCs w:val="16"/>
              </w:rPr>
            </w:pPr>
            <w:r w:rsidRPr="00DA083C">
              <w:rPr>
                <w:sz w:val="16"/>
                <w:szCs w:val="16"/>
              </w:rPr>
              <w:t xml:space="preserve">zväčšovať priemerná dĺžka strávená v predčasnom dôchodku </w:t>
            </w:r>
          </w:p>
          <w:p w14:paraId="3363369C" w14:textId="24362EEA" w:rsidR="009E614A" w:rsidRPr="00DA083C" w:rsidRDefault="009E614A" w:rsidP="009E614A">
            <w:pPr>
              <w:jc w:val="both"/>
              <w:rPr>
                <w:sz w:val="16"/>
                <w:szCs w:val="16"/>
              </w:rPr>
            </w:pPr>
          </w:p>
          <w:p w14:paraId="7D351A65" w14:textId="4628C5CD" w:rsidR="009E614A" w:rsidRPr="00DA083C" w:rsidRDefault="009E614A" w:rsidP="009E614A">
            <w:pPr>
              <w:jc w:val="both"/>
              <w:rPr>
                <w:sz w:val="16"/>
                <w:szCs w:val="16"/>
              </w:rPr>
            </w:pPr>
            <w:r w:rsidRPr="00DA083C">
              <w:rPr>
                <w:sz w:val="16"/>
                <w:szCs w:val="16"/>
              </w:rPr>
              <w:t>Takto nastavený dôchodkový systém bude viesť k zväčšovaniu časti dôchodcov v nízkymi dôchodkami a potenciálnemu tlaku na ich neskoršie nespravodlivé zvyšovanie, a teda tlaku na dodatočné výdavky verejných financií (dotovanie cez minimálny dôchodok a tlak na politikov na zvyšovanie nízkych dôchodkov). Zároveň</w:t>
            </w:r>
            <w:r w:rsidR="00627E12" w:rsidRPr="00DA083C">
              <w:rPr>
                <w:sz w:val="16"/>
                <w:szCs w:val="16"/>
              </w:rPr>
              <w:t>,</w:t>
            </w:r>
            <w:r w:rsidRPr="00DA083C">
              <w:rPr>
                <w:sz w:val="16"/>
                <w:szCs w:val="16"/>
              </w:rPr>
              <w:t xml:space="preserve"> zachovaním zákazu súčasného poberania predčasného dôchodku a vykonávania závislej činnosti štandardnou formou sa prehlbuje riziko predčasného odchodu zdravej časti populácie z trhu práce. To negatívne ovplyvní ekonomickú výkonnosť Slovenska, čo sa popri nižšej životnej úrovni negatívne prejaví aj na dlhodobej udržateľnosti verejných financií.</w:t>
            </w:r>
          </w:p>
          <w:p w14:paraId="79B21EA0" w14:textId="68D55F9C" w:rsidR="009E614A" w:rsidRPr="00DA083C" w:rsidRDefault="009E614A" w:rsidP="009E614A">
            <w:pPr>
              <w:jc w:val="both"/>
              <w:rPr>
                <w:sz w:val="16"/>
                <w:szCs w:val="16"/>
              </w:rPr>
            </w:pPr>
          </w:p>
        </w:tc>
        <w:tc>
          <w:tcPr>
            <w:tcW w:w="855" w:type="dxa"/>
            <w:vAlign w:val="center"/>
          </w:tcPr>
          <w:p w14:paraId="414DD41D" w14:textId="4BC837D2" w:rsidR="009E614A" w:rsidRPr="00DA083C" w:rsidRDefault="009E614A" w:rsidP="009E614A">
            <w:pPr>
              <w:jc w:val="center"/>
              <w:rPr>
                <w:sz w:val="16"/>
                <w:szCs w:val="16"/>
              </w:rPr>
            </w:pPr>
            <w:r w:rsidRPr="00DA083C">
              <w:rPr>
                <w:sz w:val="16"/>
                <w:szCs w:val="16"/>
              </w:rPr>
              <w:t>zásadná</w:t>
            </w:r>
          </w:p>
        </w:tc>
      </w:tr>
      <w:tr w:rsidR="009E614A" w:rsidRPr="00DA083C" w14:paraId="42F757CF" w14:textId="77777777" w:rsidTr="001003B1">
        <w:trPr>
          <w:trHeight w:val="468"/>
          <w:jc w:val="center"/>
        </w:trPr>
        <w:tc>
          <w:tcPr>
            <w:tcW w:w="805" w:type="dxa"/>
            <w:vAlign w:val="center"/>
          </w:tcPr>
          <w:p w14:paraId="4175BED9" w14:textId="63DF3676" w:rsidR="009E614A" w:rsidRPr="00DA083C" w:rsidRDefault="009E614A" w:rsidP="009E614A">
            <w:pPr>
              <w:rPr>
                <w:sz w:val="16"/>
                <w:szCs w:val="16"/>
              </w:rPr>
            </w:pPr>
            <w:r w:rsidRPr="00DA083C">
              <w:rPr>
                <w:sz w:val="16"/>
                <w:szCs w:val="16"/>
              </w:rPr>
              <w:t>KRRZ</w:t>
            </w:r>
          </w:p>
        </w:tc>
        <w:tc>
          <w:tcPr>
            <w:tcW w:w="1033" w:type="dxa"/>
            <w:vAlign w:val="center"/>
          </w:tcPr>
          <w:p w14:paraId="5D27608C" w14:textId="4D47DEFD" w:rsidR="009E614A" w:rsidRPr="00DA083C" w:rsidRDefault="009E614A" w:rsidP="009E614A">
            <w:pPr>
              <w:jc w:val="center"/>
              <w:rPr>
                <w:sz w:val="16"/>
                <w:szCs w:val="16"/>
              </w:rPr>
            </w:pPr>
            <w:r w:rsidRPr="00DA083C">
              <w:rPr>
                <w:sz w:val="16"/>
                <w:szCs w:val="16"/>
              </w:rPr>
              <w:t>Čl. I Bod 37,39</w:t>
            </w:r>
          </w:p>
        </w:tc>
        <w:tc>
          <w:tcPr>
            <w:tcW w:w="6946" w:type="dxa"/>
            <w:vAlign w:val="center"/>
          </w:tcPr>
          <w:p w14:paraId="06E84AD7" w14:textId="497F6F52" w:rsidR="009E614A" w:rsidRPr="00DA083C" w:rsidRDefault="009E614A" w:rsidP="009E614A">
            <w:pPr>
              <w:jc w:val="both"/>
              <w:rPr>
                <w:sz w:val="16"/>
                <w:szCs w:val="16"/>
              </w:rPr>
            </w:pPr>
            <w:r w:rsidRPr="00DA083C">
              <w:rPr>
                <w:sz w:val="16"/>
                <w:szCs w:val="16"/>
              </w:rPr>
              <w:t xml:space="preserve">KRRZ z pohľadu zníženia budúceho rizika pre dlhodobú udržateľnosť ako aj z pohľadu spravodlivosti odporúča, aby navrhovateľ zvýšil </w:t>
            </w:r>
            <w:r w:rsidRPr="00DA083C">
              <w:rPr>
                <w:b/>
                <w:bCs/>
                <w:sz w:val="16"/>
                <w:szCs w:val="16"/>
              </w:rPr>
              <w:t>minimálnu sumu predčasného dôchodku potrebnú pre vznik nároku</w:t>
            </w:r>
            <w:r w:rsidRPr="00DA083C">
              <w:rPr>
                <w:sz w:val="16"/>
                <w:szCs w:val="16"/>
              </w:rPr>
              <w:t xml:space="preserve"> na predčasný starobný dôchodok po 40 odpracovaných rokoch, ktorá je aktuálne </w:t>
            </w:r>
            <w:r w:rsidRPr="00DA083C">
              <w:rPr>
                <w:b/>
                <w:bCs/>
                <w:sz w:val="16"/>
                <w:szCs w:val="16"/>
              </w:rPr>
              <w:t xml:space="preserve">vo výške 1,2-násobku životného minima. Dôvodom je </w:t>
            </w:r>
            <w:r w:rsidR="00207C34" w:rsidRPr="00DA083C">
              <w:rPr>
                <w:b/>
                <w:bCs/>
                <w:sz w:val="16"/>
                <w:szCs w:val="16"/>
              </w:rPr>
              <w:t>skutočn</w:t>
            </w:r>
            <w:r w:rsidR="002A53FE" w:rsidRPr="00DA083C">
              <w:rPr>
                <w:b/>
                <w:bCs/>
                <w:sz w:val="16"/>
                <w:szCs w:val="16"/>
              </w:rPr>
              <w:t>o</w:t>
            </w:r>
            <w:r w:rsidR="00207C34" w:rsidRPr="00DA083C">
              <w:rPr>
                <w:b/>
                <w:bCs/>
                <w:sz w:val="16"/>
                <w:szCs w:val="16"/>
              </w:rPr>
              <w:t>sť</w:t>
            </w:r>
            <w:r w:rsidRPr="00DA083C">
              <w:rPr>
                <w:b/>
                <w:bCs/>
                <w:sz w:val="16"/>
                <w:szCs w:val="16"/>
              </w:rPr>
              <w:t xml:space="preserve">, že táto skupina dôchodcov bude mať po dovŕšení dôchodkového veku nárok na doplatok do minimálneho dôchodku do výšky 1,57 násobku životného minima (suma minimálneho dôchodku pri 40 odpracovaných </w:t>
            </w:r>
            <w:r w:rsidR="6BD3B1C2" w:rsidRPr="00DA083C">
              <w:rPr>
                <w:b/>
                <w:bCs/>
                <w:sz w:val="16"/>
                <w:szCs w:val="16"/>
              </w:rPr>
              <w:t>roko</w:t>
            </w:r>
            <w:r w:rsidR="5AD874EF" w:rsidRPr="00DA083C">
              <w:rPr>
                <w:b/>
                <w:bCs/>
                <w:sz w:val="16"/>
                <w:szCs w:val="16"/>
              </w:rPr>
              <w:t>ch</w:t>
            </w:r>
            <w:r w:rsidRPr="00DA083C">
              <w:rPr>
                <w:b/>
                <w:bCs/>
                <w:sz w:val="16"/>
                <w:szCs w:val="16"/>
              </w:rPr>
              <w:t xml:space="preserve"> – zjednodušene).</w:t>
            </w:r>
          </w:p>
          <w:p w14:paraId="4DED5568" w14:textId="77777777" w:rsidR="009E614A" w:rsidRPr="00DA083C" w:rsidRDefault="009E614A" w:rsidP="009E614A">
            <w:pPr>
              <w:jc w:val="both"/>
              <w:rPr>
                <w:sz w:val="16"/>
                <w:szCs w:val="16"/>
              </w:rPr>
            </w:pPr>
          </w:p>
          <w:p w14:paraId="3B83724E" w14:textId="0852A2AC" w:rsidR="009E614A" w:rsidRPr="00DA083C" w:rsidRDefault="009E614A" w:rsidP="009E614A">
            <w:pPr>
              <w:jc w:val="both"/>
              <w:rPr>
                <w:sz w:val="16"/>
                <w:szCs w:val="16"/>
              </w:rPr>
            </w:pPr>
            <w:r w:rsidRPr="00DA083C">
              <w:rPr>
                <w:sz w:val="16"/>
                <w:szCs w:val="16"/>
              </w:rPr>
              <w:t xml:space="preserve">Zdôvodnenie: V prípade skorého odchodu do predčasného dôchodku (napr. vo veku 58 rokov ) získa časť týchto dôchodcov pri dovŕšení dôchodkového veku nárok na doplatok do minimálneho dôchodku, keďže pre 40 odpracovaných rokov je výška minimálneho dôchodku zadefinovaná ako 1,57 násobok životného minima (aktuálne je minimálny dôchodok zmrazený, už dôvodová správa k jeho zmrazeniu však predpokladala jeho opätovné „odmrazenie“). Toto je priamo v rozpore s princípom aktuárnej neutrality </w:t>
            </w:r>
            <w:r w:rsidRPr="00DA083C">
              <w:rPr>
                <w:sz w:val="16"/>
                <w:szCs w:val="16"/>
              </w:rPr>
              <w:lastRenderedPageBreak/>
              <w:t>a nespravodlivo zvyšuje dôchodkové nároky časti dôchodcov, ktorí sa do dôchodku rozhodnú odísť výrazne sk</w:t>
            </w:r>
            <w:r w:rsidR="00BE2E29" w:rsidRPr="00DA083C">
              <w:rPr>
                <w:sz w:val="16"/>
                <w:szCs w:val="16"/>
              </w:rPr>
              <w:t>ôr</w:t>
            </w:r>
            <w:r w:rsidRPr="00DA083C">
              <w:rPr>
                <w:sz w:val="16"/>
                <w:szCs w:val="16"/>
              </w:rPr>
              <w:t xml:space="preserve"> napriek tomu, že ich mesačná suma dôchodku bude veľmi nízka. Zároveň to vytvára dodatočné náklady pre verejné financie, ktoré predkladateľom neboli kvantifikované. </w:t>
            </w:r>
          </w:p>
          <w:p w14:paraId="4AAFD345" w14:textId="77777777" w:rsidR="009E614A" w:rsidRPr="00DA083C" w:rsidRDefault="009E614A" w:rsidP="009E614A">
            <w:pPr>
              <w:jc w:val="both"/>
              <w:rPr>
                <w:sz w:val="16"/>
                <w:szCs w:val="16"/>
              </w:rPr>
            </w:pPr>
          </w:p>
        </w:tc>
        <w:tc>
          <w:tcPr>
            <w:tcW w:w="855" w:type="dxa"/>
            <w:vAlign w:val="center"/>
          </w:tcPr>
          <w:p w14:paraId="5648D3EF" w14:textId="463B0039" w:rsidR="009E614A" w:rsidRPr="00DA083C" w:rsidRDefault="009E614A" w:rsidP="009E614A">
            <w:pPr>
              <w:jc w:val="center"/>
              <w:rPr>
                <w:sz w:val="16"/>
                <w:szCs w:val="16"/>
              </w:rPr>
            </w:pPr>
            <w:r w:rsidRPr="00DA083C">
              <w:rPr>
                <w:sz w:val="16"/>
                <w:szCs w:val="16"/>
              </w:rPr>
              <w:lastRenderedPageBreak/>
              <w:t>zásadná</w:t>
            </w:r>
          </w:p>
        </w:tc>
      </w:tr>
      <w:tr w:rsidR="009E614A" w:rsidRPr="00DA083C" w14:paraId="1C01262E" w14:textId="77777777" w:rsidTr="001003B1">
        <w:trPr>
          <w:trHeight w:val="468"/>
          <w:jc w:val="center"/>
        </w:trPr>
        <w:tc>
          <w:tcPr>
            <w:tcW w:w="805" w:type="dxa"/>
            <w:vAlign w:val="center"/>
          </w:tcPr>
          <w:p w14:paraId="38BA19D3" w14:textId="0AE1ABFB" w:rsidR="009E614A" w:rsidRPr="00DA083C" w:rsidRDefault="009E614A" w:rsidP="009E614A">
            <w:pPr>
              <w:rPr>
                <w:sz w:val="16"/>
                <w:szCs w:val="16"/>
              </w:rPr>
            </w:pPr>
            <w:r w:rsidRPr="00DA083C">
              <w:rPr>
                <w:sz w:val="16"/>
                <w:szCs w:val="16"/>
              </w:rPr>
              <w:t>KRRZ</w:t>
            </w:r>
          </w:p>
        </w:tc>
        <w:tc>
          <w:tcPr>
            <w:tcW w:w="1033" w:type="dxa"/>
            <w:vAlign w:val="center"/>
          </w:tcPr>
          <w:p w14:paraId="567D9608" w14:textId="5364BD2F" w:rsidR="009E614A" w:rsidRPr="00DA083C" w:rsidRDefault="009E614A" w:rsidP="009E614A">
            <w:pPr>
              <w:jc w:val="center"/>
              <w:rPr>
                <w:sz w:val="16"/>
                <w:szCs w:val="16"/>
              </w:rPr>
            </w:pPr>
            <w:r w:rsidRPr="00DA083C">
              <w:rPr>
                <w:sz w:val="16"/>
                <w:szCs w:val="16"/>
              </w:rPr>
              <w:t>Čl. I Bod 44</w:t>
            </w:r>
            <w:r w:rsidR="00AB7F10" w:rsidRPr="00DA083C">
              <w:rPr>
                <w:sz w:val="16"/>
                <w:szCs w:val="16"/>
              </w:rPr>
              <w:t xml:space="preserve"> a 51</w:t>
            </w:r>
          </w:p>
        </w:tc>
        <w:tc>
          <w:tcPr>
            <w:tcW w:w="6946" w:type="dxa"/>
            <w:vAlign w:val="center"/>
          </w:tcPr>
          <w:p w14:paraId="1949897C" w14:textId="3DA11522" w:rsidR="009E614A" w:rsidRPr="00DA083C" w:rsidRDefault="009E614A" w:rsidP="009E614A">
            <w:pPr>
              <w:jc w:val="both"/>
              <w:rPr>
                <w:sz w:val="16"/>
                <w:szCs w:val="16"/>
              </w:rPr>
            </w:pPr>
            <w:r w:rsidRPr="00DA083C">
              <w:rPr>
                <w:sz w:val="16"/>
                <w:szCs w:val="16"/>
              </w:rPr>
              <w:t xml:space="preserve">KRRZ </w:t>
            </w:r>
            <w:r w:rsidRPr="00DA083C">
              <w:rPr>
                <w:b/>
                <w:bCs/>
                <w:sz w:val="16"/>
                <w:szCs w:val="16"/>
              </w:rPr>
              <w:t>odporúča</w:t>
            </w:r>
            <w:r w:rsidR="00414072" w:rsidRPr="00DA083C">
              <w:rPr>
                <w:b/>
                <w:bCs/>
                <w:sz w:val="16"/>
                <w:szCs w:val="16"/>
              </w:rPr>
              <w:t xml:space="preserve"> </w:t>
            </w:r>
            <w:r w:rsidR="00957EFD" w:rsidRPr="00DA083C">
              <w:rPr>
                <w:b/>
                <w:bCs/>
                <w:sz w:val="16"/>
                <w:szCs w:val="16"/>
              </w:rPr>
              <w:t>vypustiť</w:t>
            </w:r>
            <w:r w:rsidR="00FB50D1" w:rsidRPr="00DA083C">
              <w:rPr>
                <w:b/>
                <w:bCs/>
                <w:sz w:val="16"/>
                <w:szCs w:val="16"/>
              </w:rPr>
              <w:t xml:space="preserve"> 2 skupiny </w:t>
            </w:r>
            <w:r w:rsidR="00957EFD" w:rsidRPr="00DA083C">
              <w:rPr>
                <w:b/>
                <w:bCs/>
                <w:sz w:val="16"/>
                <w:szCs w:val="16"/>
              </w:rPr>
              <w:t>kráteni</w:t>
            </w:r>
            <w:r w:rsidR="00FB50D1" w:rsidRPr="00DA083C">
              <w:rPr>
                <w:b/>
                <w:bCs/>
                <w:sz w:val="16"/>
                <w:szCs w:val="16"/>
              </w:rPr>
              <w:t>a</w:t>
            </w:r>
            <w:r w:rsidR="00957EFD" w:rsidRPr="00DA083C">
              <w:rPr>
                <w:b/>
                <w:bCs/>
                <w:sz w:val="16"/>
                <w:szCs w:val="16"/>
              </w:rPr>
              <w:t xml:space="preserve"> predčasných dôchodkov </w:t>
            </w:r>
            <w:r w:rsidR="00FB50D1" w:rsidRPr="00DA083C">
              <w:rPr>
                <w:b/>
                <w:bCs/>
                <w:sz w:val="16"/>
                <w:szCs w:val="16"/>
              </w:rPr>
              <w:t>(0,3% a 0,5% za každých začatých 30 dní pred dovŕšením dôchodkového veku)</w:t>
            </w:r>
            <w:r w:rsidR="00957EFD" w:rsidRPr="00DA083C">
              <w:rPr>
                <w:b/>
                <w:bCs/>
                <w:sz w:val="16"/>
                <w:szCs w:val="16"/>
              </w:rPr>
              <w:t xml:space="preserve"> a</w:t>
            </w:r>
            <w:r w:rsidR="00FB50D1" w:rsidRPr="00DA083C">
              <w:rPr>
                <w:b/>
                <w:bCs/>
                <w:sz w:val="16"/>
                <w:szCs w:val="16"/>
              </w:rPr>
              <w:t xml:space="preserve"> uplatňovať </w:t>
            </w:r>
            <w:r w:rsidR="006F7AC3" w:rsidRPr="00DA083C">
              <w:rPr>
                <w:b/>
                <w:bCs/>
                <w:sz w:val="16"/>
                <w:szCs w:val="16"/>
              </w:rPr>
              <w:t>jednotné</w:t>
            </w:r>
            <w:r w:rsidR="00FB50D1" w:rsidRPr="00DA083C">
              <w:rPr>
                <w:b/>
                <w:bCs/>
                <w:sz w:val="16"/>
                <w:szCs w:val="16"/>
              </w:rPr>
              <w:t xml:space="preserve"> krátenie v</w:t>
            </w:r>
            <w:r w:rsidR="006F7AC3" w:rsidRPr="00DA083C">
              <w:rPr>
                <w:b/>
                <w:bCs/>
                <w:sz w:val="16"/>
                <w:szCs w:val="16"/>
              </w:rPr>
              <w:t> súčasne platnej výške</w:t>
            </w:r>
            <w:r w:rsidR="00414072" w:rsidRPr="00DA083C">
              <w:rPr>
                <w:b/>
                <w:bCs/>
                <w:sz w:val="16"/>
                <w:szCs w:val="16"/>
              </w:rPr>
              <w:t xml:space="preserve"> (0,5% za každých začatých 30 dní) pre všetky predčasné dôchodky</w:t>
            </w:r>
            <w:r w:rsidR="00414072" w:rsidRPr="00DA083C">
              <w:rPr>
                <w:sz w:val="16"/>
                <w:szCs w:val="16"/>
              </w:rPr>
              <w:t xml:space="preserve"> bez ohľadu na to podľa ktorej podmienky (2 roky pred dovŕšením dôchodkového veku alebo po odpracovaní 40 rokov) na ne vznikol nárok. V opačnom prípade by mal </w:t>
            </w:r>
            <w:r w:rsidRPr="00DA083C">
              <w:rPr>
                <w:b/>
                <w:bCs/>
                <w:sz w:val="16"/>
                <w:szCs w:val="16"/>
              </w:rPr>
              <w:t>navrhovateľ v dôvodovej správe podrobne zdôvodni</w:t>
            </w:r>
            <w:r w:rsidR="00414072" w:rsidRPr="00DA083C">
              <w:rPr>
                <w:b/>
                <w:bCs/>
                <w:sz w:val="16"/>
                <w:szCs w:val="16"/>
              </w:rPr>
              <w:t>ť</w:t>
            </w:r>
            <w:r w:rsidRPr="00DA083C">
              <w:rPr>
                <w:b/>
                <w:bCs/>
                <w:sz w:val="16"/>
                <w:szCs w:val="16"/>
              </w:rPr>
              <w:t xml:space="preserve"> návrh na vznik dvoch rozdielnych úrovní krátenia sumy predčasných dôchodkov</w:t>
            </w:r>
            <w:r w:rsidRPr="00DA083C">
              <w:rPr>
                <w:sz w:val="16"/>
                <w:szCs w:val="16"/>
              </w:rPr>
              <w:t xml:space="preserve"> v závislosti od typu podmienky, ktorú splnia</w:t>
            </w:r>
            <w:r w:rsidR="00EF3C9C" w:rsidRPr="00DA083C">
              <w:rPr>
                <w:sz w:val="16"/>
                <w:szCs w:val="16"/>
              </w:rPr>
              <w:t xml:space="preserve">. </w:t>
            </w:r>
            <w:r w:rsidR="00414072" w:rsidRPr="00DA083C">
              <w:rPr>
                <w:sz w:val="16"/>
                <w:szCs w:val="16"/>
              </w:rPr>
              <w:t xml:space="preserve">KRRZ zároveň upozorňuje, že doložka vplyvov na rozpočet vôbec nezohľadňuje negatívne vplyvy zníženia krátenia predčasných dôchodkov (akákoľvek zmena krátenia predčasných dôchodkov má rozpočtové dôsledky vzhľadom </w:t>
            </w:r>
            <w:r w:rsidR="00EF3C9C" w:rsidRPr="00DA083C">
              <w:rPr>
                <w:sz w:val="16"/>
                <w:szCs w:val="16"/>
              </w:rPr>
              <w:t>na</w:t>
            </w:r>
            <w:r w:rsidR="00414072" w:rsidRPr="00DA083C">
              <w:rPr>
                <w:sz w:val="16"/>
                <w:szCs w:val="16"/>
              </w:rPr>
              <w:t> to, že minimálne časť predčasných dôchodcov, ktorým by sa predčasný dôchodok krátil o 0,5% za každých 30 dní</w:t>
            </w:r>
            <w:r w:rsidR="760F11C3" w:rsidRPr="00DA083C">
              <w:rPr>
                <w:sz w:val="16"/>
                <w:szCs w:val="16"/>
              </w:rPr>
              <w:t>,</w:t>
            </w:r>
            <w:r w:rsidR="00414072" w:rsidRPr="00DA083C">
              <w:rPr>
                <w:sz w:val="16"/>
                <w:szCs w:val="16"/>
              </w:rPr>
              <w:t xml:space="preserve"> sa podľa predloženého návrhu bude krátiť o 0,3%</w:t>
            </w:r>
            <w:r w:rsidR="00EF3C9C" w:rsidRPr="00DA083C">
              <w:rPr>
                <w:sz w:val="16"/>
                <w:szCs w:val="16"/>
              </w:rPr>
              <w:t>)</w:t>
            </w:r>
            <w:r w:rsidR="00414072" w:rsidRPr="00DA083C">
              <w:rPr>
                <w:sz w:val="16"/>
                <w:szCs w:val="16"/>
              </w:rPr>
              <w:t xml:space="preserve">. </w:t>
            </w:r>
          </w:p>
          <w:p w14:paraId="77D8AAC9" w14:textId="77777777" w:rsidR="009E614A" w:rsidRPr="00DA083C" w:rsidRDefault="009E614A" w:rsidP="009E614A">
            <w:pPr>
              <w:jc w:val="both"/>
              <w:rPr>
                <w:sz w:val="16"/>
                <w:szCs w:val="16"/>
              </w:rPr>
            </w:pPr>
          </w:p>
          <w:p w14:paraId="4F5604E9" w14:textId="577BA10C" w:rsidR="00490742" w:rsidRPr="00DA083C" w:rsidRDefault="009E614A" w:rsidP="009E614A">
            <w:pPr>
              <w:jc w:val="both"/>
              <w:rPr>
                <w:sz w:val="16"/>
                <w:szCs w:val="16"/>
              </w:rPr>
            </w:pPr>
            <w:r w:rsidRPr="00DA083C">
              <w:rPr>
                <w:sz w:val="16"/>
                <w:szCs w:val="16"/>
              </w:rPr>
              <w:t>Zdôvodnenie: Vytváranie rozdielu v</w:t>
            </w:r>
            <w:r w:rsidR="006F7AC3" w:rsidRPr="00DA083C">
              <w:rPr>
                <w:sz w:val="16"/>
                <w:szCs w:val="16"/>
              </w:rPr>
              <w:t xml:space="preserve">o výške </w:t>
            </w:r>
            <w:r w:rsidRPr="00DA083C">
              <w:rPr>
                <w:sz w:val="16"/>
                <w:szCs w:val="16"/>
              </w:rPr>
              <w:t xml:space="preserve">krátenia predčasného dôchodku je podľa KRRZ neopodstatnené, nakoľko v obidvoch prípadoch, by mal byť princíp aktuárnej neutrality aplikovaný rovnako. </w:t>
            </w:r>
            <w:r w:rsidR="00490742" w:rsidRPr="00DA083C">
              <w:rPr>
                <w:sz w:val="16"/>
                <w:szCs w:val="16"/>
              </w:rPr>
              <w:t xml:space="preserve">Výška </w:t>
            </w:r>
            <w:r w:rsidRPr="00DA083C">
              <w:rPr>
                <w:sz w:val="16"/>
                <w:szCs w:val="16"/>
              </w:rPr>
              <w:t>krátenia m</w:t>
            </w:r>
            <w:r w:rsidR="00490742" w:rsidRPr="00DA083C">
              <w:rPr>
                <w:sz w:val="16"/>
                <w:szCs w:val="16"/>
              </w:rPr>
              <w:t>á</w:t>
            </w:r>
            <w:r w:rsidRPr="00DA083C">
              <w:rPr>
                <w:sz w:val="16"/>
                <w:szCs w:val="16"/>
              </w:rPr>
              <w:t xml:space="preserve"> </w:t>
            </w:r>
            <w:r w:rsidR="00490742" w:rsidRPr="00DA083C">
              <w:rPr>
                <w:sz w:val="16"/>
                <w:szCs w:val="16"/>
              </w:rPr>
              <w:t xml:space="preserve">popri vplyve na výdavky a udržateľnosť verejných financií </w:t>
            </w:r>
            <w:r w:rsidRPr="00DA083C">
              <w:rPr>
                <w:sz w:val="16"/>
                <w:szCs w:val="16"/>
              </w:rPr>
              <w:t xml:space="preserve">vplyv </w:t>
            </w:r>
            <w:r w:rsidR="00490742" w:rsidRPr="00DA083C">
              <w:rPr>
                <w:sz w:val="16"/>
                <w:szCs w:val="16"/>
              </w:rPr>
              <w:t xml:space="preserve">aj </w:t>
            </w:r>
            <w:r w:rsidRPr="00DA083C">
              <w:rPr>
                <w:sz w:val="16"/>
                <w:szCs w:val="16"/>
              </w:rPr>
              <w:t>na motiváciu ľudí odísť/zostať na trhu práce</w:t>
            </w:r>
            <w:r w:rsidR="00490742" w:rsidRPr="00DA083C">
              <w:rPr>
                <w:sz w:val="16"/>
                <w:szCs w:val="16"/>
              </w:rPr>
              <w:t>, a teda</w:t>
            </w:r>
            <w:r w:rsidRPr="00DA083C">
              <w:rPr>
                <w:sz w:val="16"/>
                <w:szCs w:val="16"/>
              </w:rPr>
              <w:t xml:space="preserve"> výkon</w:t>
            </w:r>
            <w:r w:rsidR="00490742" w:rsidRPr="00DA083C">
              <w:rPr>
                <w:sz w:val="16"/>
                <w:szCs w:val="16"/>
              </w:rPr>
              <w:t>nosť</w:t>
            </w:r>
            <w:r w:rsidRPr="00DA083C">
              <w:rPr>
                <w:sz w:val="16"/>
                <w:szCs w:val="16"/>
              </w:rPr>
              <w:t xml:space="preserve"> ekonomik</w:t>
            </w:r>
            <w:r w:rsidR="00490742" w:rsidRPr="00DA083C">
              <w:rPr>
                <w:sz w:val="16"/>
                <w:szCs w:val="16"/>
              </w:rPr>
              <w:t>y</w:t>
            </w:r>
            <w:r w:rsidRPr="00DA083C">
              <w:rPr>
                <w:sz w:val="16"/>
                <w:szCs w:val="16"/>
              </w:rPr>
              <w:t xml:space="preserve">. </w:t>
            </w:r>
          </w:p>
          <w:p w14:paraId="0CD78932" w14:textId="4CE2FA39" w:rsidR="009E614A" w:rsidRPr="00DA083C" w:rsidRDefault="00490742" w:rsidP="009E614A">
            <w:pPr>
              <w:jc w:val="both"/>
              <w:rPr>
                <w:sz w:val="16"/>
                <w:szCs w:val="16"/>
              </w:rPr>
            </w:pPr>
            <w:r w:rsidRPr="00DA083C">
              <w:rPr>
                <w:sz w:val="16"/>
                <w:szCs w:val="16"/>
              </w:rPr>
              <w:t xml:space="preserve">Vzhľadom na viaceré prístupy ku kvantifikácii </w:t>
            </w:r>
            <w:r w:rsidR="005B69CE" w:rsidRPr="00DA083C">
              <w:rPr>
                <w:sz w:val="16"/>
                <w:szCs w:val="16"/>
              </w:rPr>
              <w:t>(stanoveniu)</w:t>
            </w:r>
            <w:r w:rsidRPr="00DA083C">
              <w:rPr>
                <w:sz w:val="16"/>
                <w:szCs w:val="16"/>
              </w:rPr>
              <w:t xml:space="preserve"> aktuárne neutrálneho krátenia predčasných dôchodkov a vzhľadom na </w:t>
            </w:r>
            <w:r w:rsidR="003C2867" w:rsidRPr="00DA083C">
              <w:rPr>
                <w:sz w:val="16"/>
                <w:szCs w:val="16"/>
              </w:rPr>
              <w:t>možné dodatočné negatívn</w:t>
            </w:r>
            <w:r w:rsidR="00B55228" w:rsidRPr="00DA083C">
              <w:rPr>
                <w:sz w:val="16"/>
                <w:szCs w:val="16"/>
              </w:rPr>
              <w:t>e</w:t>
            </w:r>
            <w:r w:rsidR="003C2867" w:rsidRPr="00DA083C">
              <w:rPr>
                <w:sz w:val="16"/>
                <w:szCs w:val="16"/>
              </w:rPr>
              <w:t xml:space="preserve"> makroekonomické vplyvy</w:t>
            </w:r>
            <w:r w:rsidR="00B55228" w:rsidRPr="00DA083C">
              <w:rPr>
                <w:sz w:val="16"/>
                <w:szCs w:val="16"/>
              </w:rPr>
              <w:t xml:space="preserve"> (zníže</w:t>
            </w:r>
            <w:r w:rsidR="00BC7F60" w:rsidRPr="00DA083C">
              <w:rPr>
                <w:sz w:val="16"/>
                <w:szCs w:val="16"/>
              </w:rPr>
              <w:t>ná celková zamestnanosť)</w:t>
            </w:r>
            <w:r w:rsidR="473FF309" w:rsidRPr="00DA083C">
              <w:rPr>
                <w:sz w:val="16"/>
                <w:szCs w:val="16"/>
              </w:rPr>
              <w:t>,</w:t>
            </w:r>
            <w:r w:rsidRPr="00DA083C">
              <w:rPr>
                <w:sz w:val="16"/>
                <w:szCs w:val="16"/>
              </w:rPr>
              <w:t xml:space="preserve"> </w:t>
            </w:r>
            <w:r w:rsidR="00200022" w:rsidRPr="00DA083C">
              <w:rPr>
                <w:sz w:val="16"/>
                <w:szCs w:val="16"/>
              </w:rPr>
              <w:t xml:space="preserve">KRRZ </w:t>
            </w:r>
            <w:r w:rsidR="009E614A" w:rsidRPr="00DA083C">
              <w:rPr>
                <w:sz w:val="16"/>
                <w:szCs w:val="16"/>
              </w:rPr>
              <w:t xml:space="preserve">navrhuje konzervatívny postoj zachovania </w:t>
            </w:r>
            <w:r w:rsidR="00843881" w:rsidRPr="00DA083C">
              <w:rPr>
                <w:sz w:val="16"/>
                <w:szCs w:val="16"/>
              </w:rPr>
              <w:t xml:space="preserve">jednotného </w:t>
            </w:r>
            <w:r w:rsidR="009E614A" w:rsidRPr="00DA083C">
              <w:rPr>
                <w:sz w:val="16"/>
                <w:szCs w:val="16"/>
              </w:rPr>
              <w:t>percenta krátenia</w:t>
            </w:r>
            <w:r w:rsidR="00843881" w:rsidRPr="00DA083C">
              <w:rPr>
                <w:sz w:val="16"/>
                <w:szCs w:val="16"/>
              </w:rPr>
              <w:t xml:space="preserve"> v súčasnej výške</w:t>
            </w:r>
            <w:r w:rsidR="009E614A" w:rsidRPr="00DA083C">
              <w:rPr>
                <w:sz w:val="16"/>
                <w:szCs w:val="16"/>
              </w:rPr>
              <w:t xml:space="preserve"> </w:t>
            </w:r>
            <w:r w:rsidR="00090519" w:rsidRPr="00DA083C">
              <w:rPr>
                <w:sz w:val="16"/>
                <w:szCs w:val="16"/>
              </w:rPr>
              <w:t xml:space="preserve">(0,5% za každých začatých 30 dní) </w:t>
            </w:r>
            <w:r w:rsidR="009E614A" w:rsidRPr="00DA083C">
              <w:rPr>
                <w:sz w:val="16"/>
                <w:szCs w:val="16"/>
              </w:rPr>
              <w:t xml:space="preserve">pre všetky predčasné dôchodky bez ohľadu </w:t>
            </w:r>
            <w:r w:rsidR="007F35A8" w:rsidRPr="00DA083C">
              <w:rPr>
                <w:sz w:val="16"/>
                <w:szCs w:val="16"/>
              </w:rPr>
              <w:t xml:space="preserve">na </w:t>
            </w:r>
            <w:r w:rsidR="009E614A" w:rsidRPr="00DA083C">
              <w:rPr>
                <w:sz w:val="16"/>
                <w:szCs w:val="16"/>
              </w:rPr>
              <w:t>to podľa ktorej podmienky (2 roky pred dovŕšením dôchodkového veku alebo po odpracovaní 40 rokov) na ne vznikol nárok.</w:t>
            </w:r>
          </w:p>
          <w:p w14:paraId="2AF19DB4" w14:textId="0D2CDAEE" w:rsidR="00490C03" w:rsidRPr="00DA083C" w:rsidRDefault="00490C03" w:rsidP="009E614A">
            <w:pPr>
              <w:jc w:val="both"/>
              <w:rPr>
                <w:sz w:val="16"/>
                <w:szCs w:val="16"/>
              </w:rPr>
            </w:pPr>
          </w:p>
        </w:tc>
        <w:tc>
          <w:tcPr>
            <w:tcW w:w="855" w:type="dxa"/>
            <w:vAlign w:val="center"/>
          </w:tcPr>
          <w:p w14:paraId="123BD258" w14:textId="2CDABD37" w:rsidR="009E614A" w:rsidRPr="00DA083C" w:rsidRDefault="009E614A" w:rsidP="009E614A">
            <w:pPr>
              <w:jc w:val="center"/>
              <w:rPr>
                <w:sz w:val="16"/>
                <w:szCs w:val="16"/>
              </w:rPr>
            </w:pPr>
            <w:r w:rsidRPr="00DA083C">
              <w:rPr>
                <w:sz w:val="16"/>
                <w:szCs w:val="16"/>
              </w:rPr>
              <w:t>zásadná</w:t>
            </w:r>
          </w:p>
        </w:tc>
      </w:tr>
      <w:tr w:rsidR="00FE56B7" w:rsidRPr="00DA083C" w14:paraId="356116F1" w14:textId="77777777" w:rsidTr="001003B1">
        <w:trPr>
          <w:trHeight w:val="468"/>
          <w:jc w:val="center"/>
        </w:trPr>
        <w:tc>
          <w:tcPr>
            <w:tcW w:w="805" w:type="dxa"/>
            <w:vAlign w:val="center"/>
          </w:tcPr>
          <w:p w14:paraId="09E93051" w14:textId="41441D33" w:rsidR="00FE56B7" w:rsidRPr="00DA083C" w:rsidRDefault="00FE56B7" w:rsidP="00FE56B7">
            <w:pPr>
              <w:rPr>
                <w:sz w:val="16"/>
                <w:szCs w:val="16"/>
              </w:rPr>
            </w:pPr>
            <w:r w:rsidRPr="00DA083C">
              <w:rPr>
                <w:sz w:val="16"/>
                <w:szCs w:val="16"/>
              </w:rPr>
              <w:t>KRRZ</w:t>
            </w:r>
          </w:p>
        </w:tc>
        <w:tc>
          <w:tcPr>
            <w:tcW w:w="1033" w:type="dxa"/>
            <w:vAlign w:val="center"/>
          </w:tcPr>
          <w:p w14:paraId="51EF4D1F" w14:textId="493589E3" w:rsidR="00FE56B7" w:rsidRPr="00DA083C" w:rsidRDefault="00FE56B7" w:rsidP="00FE56B7">
            <w:pPr>
              <w:jc w:val="center"/>
              <w:rPr>
                <w:sz w:val="16"/>
                <w:szCs w:val="16"/>
              </w:rPr>
            </w:pPr>
            <w:r w:rsidRPr="00DA083C">
              <w:rPr>
                <w:sz w:val="16"/>
                <w:szCs w:val="16"/>
              </w:rPr>
              <w:t>Čl. I Bod 75</w:t>
            </w:r>
          </w:p>
        </w:tc>
        <w:tc>
          <w:tcPr>
            <w:tcW w:w="6946" w:type="dxa"/>
            <w:vAlign w:val="center"/>
          </w:tcPr>
          <w:p w14:paraId="53207869" w14:textId="5E81EFE7" w:rsidR="00C25D33" w:rsidRPr="00DA083C" w:rsidRDefault="00C25D33" w:rsidP="00C25D33">
            <w:pPr>
              <w:jc w:val="both"/>
              <w:rPr>
                <w:b/>
                <w:bCs/>
                <w:sz w:val="16"/>
                <w:szCs w:val="16"/>
              </w:rPr>
            </w:pPr>
            <w:r w:rsidRPr="00DA083C">
              <w:rPr>
                <w:sz w:val="16"/>
                <w:szCs w:val="16"/>
              </w:rPr>
              <w:t>KRRZ upozorňuje</w:t>
            </w:r>
            <w:r w:rsidR="00D7672F" w:rsidRPr="00DA083C">
              <w:rPr>
                <w:sz w:val="16"/>
                <w:szCs w:val="16"/>
              </w:rPr>
              <w:t xml:space="preserve">, že </w:t>
            </w:r>
            <w:r w:rsidR="00D7672F" w:rsidRPr="00DA083C">
              <w:rPr>
                <w:b/>
                <w:bCs/>
                <w:sz w:val="16"/>
                <w:szCs w:val="16"/>
              </w:rPr>
              <w:t>zrušením maximálnych vymeriavacích základov</w:t>
            </w:r>
            <w:r w:rsidR="00D7672F" w:rsidRPr="00DA083C">
              <w:rPr>
                <w:sz w:val="16"/>
                <w:szCs w:val="16"/>
              </w:rPr>
              <w:t xml:space="preserve"> pre platenie sociálneho poistenia dochádza k</w:t>
            </w:r>
            <w:r w:rsidRPr="00DA083C">
              <w:rPr>
                <w:sz w:val="16"/>
                <w:szCs w:val="16"/>
              </w:rPr>
              <w:t xml:space="preserve"> prehlbovani</w:t>
            </w:r>
            <w:r w:rsidR="00D7672F" w:rsidRPr="00DA083C">
              <w:rPr>
                <w:sz w:val="16"/>
                <w:szCs w:val="16"/>
              </w:rPr>
              <w:t xml:space="preserve">u už existujúceho </w:t>
            </w:r>
            <w:r w:rsidRPr="00DA083C">
              <w:rPr>
                <w:sz w:val="16"/>
                <w:szCs w:val="16"/>
              </w:rPr>
              <w:t xml:space="preserve">nesúladu medzi </w:t>
            </w:r>
            <w:r w:rsidR="00D7672F" w:rsidRPr="00DA083C">
              <w:rPr>
                <w:sz w:val="16"/>
                <w:szCs w:val="16"/>
              </w:rPr>
              <w:t>plateným</w:t>
            </w:r>
            <w:r w:rsidRPr="00DA083C">
              <w:rPr>
                <w:sz w:val="16"/>
                <w:szCs w:val="16"/>
              </w:rPr>
              <w:t xml:space="preserve"> poistn</w:t>
            </w:r>
            <w:r w:rsidR="00D7672F" w:rsidRPr="00DA083C">
              <w:rPr>
                <w:sz w:val="16"/>
                <w:szCs w:val="16"/>
              </w:rPr>
              <w:t>ým</w:t>
            </w:r>
            <w:r w:rsidRPr="00DA083C">
              <w:rPr>
                <w:sz w:val="16"/>
                <w:szCs w:val="16"/>
              </w:rPr>
              <w:t xml:space="preserve"> </w:t>
            </w:r>
            <w:r w:rsidR="003C67A7" w:rsidRPr="00DA083C">
              <w:rPr>
                <w:sz w:val="16"/>
                <w:szCs w:val="16"/>
              </w:rPr>
              <w:t xml:space="preserve">(bez ohraničenia </w:t>
            </w:r>
            <w:r w:rsidR="00B5510D" w:rsidRPr="00DA083C">
              <w:rPr>
                <w:sz w:val="16"/>
                <w:szCs w:val="16"/>
              </w:rPr>
              <w:t xml:space="preserve">výšky </w:t>
            </w:r>
            <w:r w:rsidR="003C67A7" w:rsidRPr="00DA083C">
              <w:rPr>
                <w:sz w:val="16"/>
                <w:szCs w:val="16"/>
              </w:rPr>
              <w:t>príjm</w:t>
            </w:r>
            <w:r w:rsidR="00B5510D" w:rsidRPr="00DA083C">
              <w:rPr>
                <w:sz w:val="16"/>
                <w:szCs w:val="16"/>
              </w:rPr>
              <w:t>ov</w:t>
            </w:r>
            <w:r w:rsidR="003C67A7" w:rsidRPr="00DA083C">
              <w:rPr>
                <w:sz w:val="16"/>
                <w:szCs w:val="16"/>
              </w:rPr>
              <w:t>)</w:t>
            </w:r>
            <w:r w:rsidRPr="00DA083C">
              <w:rPr>
                <w:sz w:val="16"/>
                <w:szCs w:val="16"/>
              </w:rPr>
              <w:t xml:space="preserve"> a stropmi pre </w:t>
            </w:r>
            <w:r w:rsidR="002719F2" w:rsidRPr="00DA083C">
              <w:rPr>
                <w:sz w:val="16"/>
                <w:szCs w:val="16"/>
              </w:rPr>
              <w:t xml:space="preserve">nároky na </w:t>
            </w:r>
            <w:r w:rsidRPr="00DA083C">
              <w:rPr>
                <w:sz w:val="16"/>
                <w:szCs w:val="16"/>
              </w:rPr>
              <w:t xml:space="preserve">dávky sociálneho poistenia </w:t>
            </w:r>
            <w:r w:rsidR="00880B33" w:rsidRPr="00DA083C">
              <w:rPr>
                <w:sz w:val="16"/>
                <w:szCs w:val="16"/>
              </w:rPr>
              <w:t>(v prípade dôchodkov</w:t>
            </w:r>
            <w:r w:rsidR="00021074" w:rsidRPr="00DA083C">
              <w:rPr>
                <w:sz w:val="16"/>
                <w:szCs w:val="16"/>
              </w:rPr>
              <w:t xml:space="preserve"> </w:t>
            </w:r>
            <w:r w:rsidR="00B97BD4" w:rsidRPr="00DA083C">
              <w:rPr>
                <w:sz w:val="16"/>
                <w:szCs w:val="16"/>
              </w:rPr>
              <w:t>zjednodušene</w:t>
            </w:r>
            <w:r w:rsidR="00021074" w:rsidRPr="00DA083C">
              <w:rPr>
                <w:sz w:val="16"/>
                <w:szCs w:val="16"/>
              </w:rPr>
              <w:t xml:space="preserve"> trojnásobkom priemernej mzdy)</w:t>
            </w:r>
            <w:r w:rsidRPr="00DA083C">
              <w:rPr>
                <w:sz w:val="16"/>
                <w:szCs w:val="16"/>
              </w:rPr>
              <w:t>.</w:t>
            </w:r>
            <w:r w:rsidR="00660FBC" w:rsidRPr="00DA083C">
              <w:rPr>
                <w:sz w:val="16"/>
                <w:szCs w:val="16"/>
              </w:rPr>
              <w:t xml:space="preserve"> Takáto </w:t>
            </w:r>
            <w:r w:rsidR="00660FBC" w:rsidRPr="00DA083C">
              <w:rPr>
                <w:b/>
                <w:bCs/>
                <w:sz w:val="16"/>
                <w:szCs w:val="16"/>
              </w:rPr>
              <w:t>zmena</w:t>
            </w:r>
            <w:r w:rsidR="00F24C64" w:rsidRPr="00DA083C">
              <w:rPr>
                <w:b/>
                <w:bCs/>
                <w:sz w:val="16"/>
                <w:szCs w:val="16"/>
              </w:rPr>
              <w:t xml:space="preserve"> </w:t>
            </w:r>
            <w:r w:rsidR="00FE5F88" w:rsidRPr="00DA083C">
              <w:rPr>
                <w:b/>
                <w:bCs/>
                <w:sz w:val="16"/>
                <w:szCs w:val="16"/>
              </w:rPr>
              <w:t xml:space="preserve">v </w:t>
            </w:r>
            <w:r w:rsidR="007A1925" w:rsidRPr="00DA083C">
              <w:rPr>
                <w:b/>
                <w:bCs/>
                <w:sz w:val="16"/>
                <w:szCs w:val="16"/>
              </w:rPr>
              <w:t>proporcionalit</w:t>
            </w:r>
            <w:r w:rsidR="00FE5F88" w:rsidRPr="00DA083C">
              <w:rPr>
                <w:b/>
                <w:bCs/>
                <w:sz w:val="16"/>
                <w:szCs w:val="16"/>
              </w:rPr>
              <w:t>e</w:t>
            </w:r>
            <w:r w:rsidR="007A1925" w:rsidRPr="00DA083C">
              <w:rPr>
                <w:b/>
                <w:bCs/>
                <w:sz w:val="16"/>
                <w:szCs w:val="16"/>
              </w:rPr>
              <w:t xml:space="preserve"> </w:t>
            </w:r>
            <w:r w:rsidR="00255F11" w:rsidRPr="00DA083C">
              <w:rPr>
                <w:b/>
                <w:bCs/>
                <w:sz w:val="16"/>
                <w:szCs w:val="16"/>
              </w:rPr>
              <w:t>uplatňovania miery solidarity a</w:t>
            </w:r>
            <w:r w:rsidR="003B40D7" w:rsidRPr="00DA083C">
              <w:rPr>
                <w:b/>
                <w:bCs/>
                <w:sz w:val="16"/>
                <w:szCs w:val="16"/>
              </w:rPr>
              <w:t> </w:t>
            </w:r>
            <w:r w:rsidR="00ED01FB" w:rsidRPr="00DA083C">
              <w:rPr>
                <w:b/>
                <w:bCs/>
                <w:sz w:val="16"/>
                <w:szCs w:val="16"/>
              </w:rPr>
              <w:t>zásluhovosti</w:t>
            </w:r>
            <w:r w:rsidR="003B40D7" w:rsidRPr="00DA083C">
              <w:rPr>
                <w:b/>
                <w:bCs/>
                <w:sz w:val="16"/>
                <w:szCs w:val="16"/>
              </w:rPr>
              <w:t xml:space="preserve"> </w:t>
            </w:r>
            <w:r w:rsidR="00D72D5F" w:rsidRPr="00DA083C">
              <w:rPr>
                <w:b/>
                <w:bCs/>
                <w:sz w:val="16"/>
                <w:szCs w:val="16"/>
              </w:rPr>
              <w:t xml:space="preserve">podľa názoru KRRZ </w:t>
            </w:r>
            <w:r w:rsidR="000F1798" w:rsidRPr="00DA083C">
              <w:rPr>
                <w:b/>
                <w:bCs/>
                <w:sz w:val="16"/>
                <w:szCs w:val="16"/>
              </w:rPr>
              <w:t xml:space="preserve">z definície </w:t>
            </w:r>
            <w:r w:rsidR="00D72D5F" w:rsidRPr="00DA083C">
              <w:rPr>
                <w:b/>
                <w:bCs/>
                <w:sz w:val="16"/>
                <w:szCs w:val="16"/>
              </w:rPr>
              <w:t>nepatrí do systému sociálneho poistenia</w:t>
            </w:r>
            <w:r w:rsidR="006B48A9" w:rsidRPr="00DA083C">
              <w:rPr>
                <w:b/>
                <w:bCs/>
                <w:sz w:val="16"/>
                <w:szCs w:val="16"/>
              </w:rPr>
              <w:t xml:space="preserve"> </w:t>
            </w:r>
            <w:r w:rsidR="00AE7D6E" w:rsidRPr="00DA083C">
              <w:rPr>
                <w:b/>
                <w:bCs/>
                <w:sz w:val="16"/>
                <w:szCs w:val="16"/>
              </w:rPr>
              <w:t xml:space="preserve">(ale daní) </w:t>
            </w:r>
            <w:r w:rsidR="006B48A9" w:rsidRPr="00DA083C">
              <w:rPr>
                <w:b/>
                <w:bCs/>
                <w:sz w:val="16"/>
                <w:szCs w:val="16"/>
              </w:rPr>
              <w:t>a toto opatrenie nemusí byť ústavne konformné</w:t>
            </w:r>
            <w:r w:rsidR="00EA16BA" w:rsidRPr="00DA083C">
              <w:rPr>
                <w:b/>
                <w:bCs/>
                <w:sz w:val="16"/>
                <w:szCs w:val="16"/>
              </w:rPr>
              <w:t>.</w:t>
            </w:r>
            <w:r w:rsidR="00D72D5F" w:rsidRPr="00DA083C">
              <w:rPr>
                <w:b/>
                <w:bCs/>
                <w:sz w:val="16"/>
                <w:szCs w:val="16"/>
              </w:rPr>
              <w:t xml:space="preserve"> </w:t>
            </w:r>
          </w:p>
          <w:p w14:paraId="19DC50F9" w14:textId="341B1BE0" w:rsidR="00C25D33" w:rsidRPr="00DA083C" w:rsidRDefault="00C25D33" w:rsidP="00C25D33">
            <w:pPr>
              <w:jc w:val="both"/>
              <w:rPr>
                <w:sz w:val="16"/>
                <w:szCs w:val="16"/>
              </w:rPr>
            </w:pPr>
          </w:p>
          <w:p w14:paraId="7B0A88B6" w14:textId="0AAF6368" w:rsidR="00C25D33" w:rsidRPr="00DA083C" w:rsidRDefault="00C25D33" w:rsidP="00C25D33">
            <w:pPr>
              <w:jc w:val="both"/>
              <w:rPr>
                <w:sz w:val="16"/>
                <w:szCs w:val="16"/>
              </w:rPr>
            </w:pPr>
            <w:r w:rsidRPr="00DA083C">
              <w:rPr>
                <w:sz w:val="16"/>
                <w:szCs w:val="16"/>
              </w:rPr>
              <w:t xml:space="preserve">Zdôvodnenie: </w:t>
            </w:r>
          </w:p>
          <w:p w14:paraId="66C7347F" w14:textId="1FB843B7" w:rsidR="00C25D33" w:rsidRPr="00DA083C" w:rsidRDefault="00C25D33" w:rsidP="00C25D33">
            <w:pPr>
              <w:jc w:val="both"/>
              <w:rPr>
                <w:sz w:val="16"/>
                <w:szCs w:val="16"/>
              </w:rPr>
            </w:pPr>
            <w:r w:rsidRPr="00DA083C">
              <w:rPr>
                <w:sz w:val="16"/>
                <w:szCs w:val="16"/>
              </w:rPr>
              <w:t xml:space="preserve">Ústavný súd vo veci sp. zn. PL. ÚS 16/06 z 30. apríla 2008 uviedol, že základné právo na primerané hmotné zabezpečenie, ktorého podrobnosti sa majú v súlade s ústavou upraviť zákonom, zahŕňa predovšetkým primerané hmotné zabezpečenie v starobe prostredníctvom systému dôchodkového zabezpečenia, v ktorom kľúčovú pozíciu má sociálne poistenie: „Sociálne poistenie ako systém založený na poistnom princípe, osobnej participácii premietajúcej sa do zohľadňovania „zásluhovosti“ pri výpočte dôchodkovej dávky, na sociálnej solidarite a na garancii štátu je založený na princípoch, ktoré sa premietajú nielen do výpočtu dôchodkovej dávky, ale premietajú sa aj do systému jej zvyšovania. (...) Podľa názoru ústavného súdu preto opakovaným vylúčením uplatnenia všeobecne ustanoveného valorizačného mechanizmu a zavedením hornej hranice pre zvyšovanie dôchodkových dávok došlo nielen k neprípustnému zásahu do právnej istoty a z nej vyplývajúcich legitímnych očakávaní adresátov tejto právnej úpravy a k vážnemu narušeniu ich dôvery v právny poriadok, čím sa namietané ustanovenie dostalo do rozporu nielen s čl. 1 ods. 1 ústavy, ale aj do rozporu s čl. 39 ods. 1 ústavy a s čl. 30 ods. 1 listiny, lebo bez akýchkoľvek akceptovateľných dôvodov sa v systéme dôchodkového poistenia narušila proporcionalita uplatňovaných princípov, predovšetkým medzi mierou sociálnej solidarity a mierou osobnej participácie (zásluhovosti) na sociálnom zabezpečení spôsobom vedúcim k ničím neodôvodnenej nivelizácii dôchodkových dávok narúšajúcej ústavný princíp zabezpečenia primeranosti, ktorá sa posudzuje aj podľa kritéria zásluhovosti.“ </w:t>
            </w:r>
          </w:p>
          <w:p w14:paraId="0335CED2" w14:textId="77777777" w:rsidR="00C25D33" w:rsidRPr="00DA083C" w:rsidRDefault="00C25D33" w:rsidP="00C25D33">
            <w:pPr>
              <w:jc w:val="both"/>
              <w:rPr>
                <w:sz w:val="16"/>
                <w:szCs w:val="16"/>
              </w:rPr>
            </w:pPr>
          </w:p>
          <w:p w14:paraId="7D498261" w14:textId="77777777" w:rsidR="00FE56B7" w:rsidRPr="00DA083C" w:rsidRDefault="00C25D33" w:rsidP="00C25D33">
            <w:pPr>
              <w:jc w:val="both"/>
              <w:rPr>
                <w:sz w:val="16"/>
                <w:szCs w:val="16"/>
              </w:rPr>
            </w:pPr>
            <w:r w:rsidRPr="00DA083C">
              <w:rPr>
                <w:sz w:val="16"/>
                <w:szCs w:val="16"/>
              </w:rPr>
              <w:t>Ak by sme vychádzali z tohto rozhodnutia, navrhovaná právna úprava narúša proporcionalitu uplatňovaných princípov, pretože jednostranne favorizuje princíp sociálnej solidarity za súčasného absolútneho opomenutia princípu osobnej participácie. Proporcionalita totiž vyžaduje vyvažovanie, pri ktorom dochádza k tomu, že jeden z princípov musí ustúpiť inému princípu. Proporcionalita však neznamená rezignovanie na čo i len minimálne uplatnenie princípu, ktorý musel v rámci vyvažovania ustúpiť.</w:t>
            </w:r>
          </w:p>
          <w:p w14:paraId="646E72DB" w14:textId="77777777" w:rsidR="00C25D33" w:rsidRPr="00DA083C" w:rsidRDefault="00C25D33" w:rsidP="00C25D33">
            <w:pPr>
              <w:jc w:val="both"/>
              <w:rPr>
                <w:sz w:val="16"/>
                <w:szCs w:val="16"/>
              </w:rPr>
            </w:pPr>
          </w:p>
        </w:tc>
        <w:tc>
          <w:tcPr>
            <w:tcW w:w="855" w:type="dxa"/>
            <w:vAlign w:val="center"/>
          </w:tcPr>
          <w:p w14:paraId="7C39182B" w14:textId="61FE2287" w:rsidR="00FE56B7" w:rsidRPr="00DA083C" w:rsidRDefault="00125519" w:rsidP="00FE56B7">
            <w:pPr>
              <w:jc w:val="center"/>
              <w:rPr>
                <w:sz w:val="16"/>
                <w:szCs w:val="16"/>
              </w:rPr>
            </w:pPr>
            <w:r w:rsidRPr="00DA083C">
              <w:rPr>
                <w:sz w:val="16"/>
                <w:szCs w:val="16"/>
              </w:rPr>
              <w:t>obyčajná</w:t>
            </w:r>
          </w:p>
        </w:tc>
      </w:tr>
      <w:tr w:rsidR="00FE56B7" w:rsidRPr="00DA083C" w14:paraId="098C73FB" w14:textId="77777777" w:rsidTr="001003B1">
        <w:trPr>
          <w:trHeight w:val="468"/>
          <w:jc w:val="center"/>
        </w:trPr>
        <w:tc>
          <w:tcPr>
            <w:tcW w:w="805" w:type="dxa"/>
            <w:vAlign w:val="center"/>
          </w:tcPr>
          <w:p w14:paraId="0CCC2026" w14:textId="336AAF15" w:rsidR="00FE56B7" w:rsidRPr="00DA083C" w:rsidRDefault="00FE56B7" w:rsidP="00FE56B7">
            <w:pPr>
              <w:rPr>
                <w:sz w:val="16"/>
                <w:szCs w:val="16"/>
              </w:rPr>
            </w:pPr>
            <w:r w:rsidRPr="00DA083C">
              <w:rPr>
                <w:sz w:val="16"/>
                <w:szCs w:val="16"/>
              </w:rPr>
              <w:t>KRRZ</w:t>
            </w:r>
          </w:p>
        </w:tc>
        <w:tc>
          <w:tcPr>
            <w:tcW w:w="1033" w:type="dxa"/>
            <w:vAlign w:val="center"/>
          </w:tcPr>
          <w:p w14:paraId="69F0E2EE" w14:textId="09F4FE61" w:rsidR="00FE56B7" w:rsidRPr="00DA083C" w:rsidRDefault="00FE56B7" w:rsidP="00FE56B7">
            <w:pPr>
              <w:jc w:val="center"/>
              <w:rPr>
                <w:sz w:val="16"/>
                <w:szCs w:val="16"/>
              </w:rPr>
            </w:pPr>
            <w:r w:rsidRPr="00DA083C">
              <w:rPr>
                <w:sz w:val="16"/>
                <w:szCs w:val="16"/>
              </w:rPr>
              <w:t xml:space="preserve">Čl. </w:t>
            </w:r>
            <w:r w:rsidR="00627E12" w:rsidRPr="00DA083C">
              <w:rPr>
                <w:sz w:val="16"/>
                <w:szCs w:val="16"/>
              </w:rPr>
              <w:t>V</w:t>
            </w:r>
            <w:r w:rsidRPr="00DA083C">
              <w:rPr>
                <w:sz w:val="16"/>
                <w:szCs w:val="16"/>
              </w:rPr>
              <w:t xml:space="preserve">I </w:t>
            </w:r>
          </w:p>
          <w:p w14:paraId="0DFA0489" w14:textId="438C97B9" w:rsidR="00FE56B7" w:rsidRPr="00DA083C" w:rsidRDefault="00FE56B7" w:rsidP="00FE56B7">
            <w:pPr>
              <w:jc w:val="center"/>
              <w:rPr>
                <w:sz w:val="16"/>
                <w:szCs w:val="16"/>
              </w:rPr>
            </w:pPr>
            <w:r w:rsidRPr="00DA083C">
              <w:rPr>
                <w:sz w:val="16"/>
                <w:szCs w:val="16"/>
              </w:rPr>
              <w:t xml:space="preserve">Čl. </w:t>
            </w:r>
            <w:r w:rsidR="00627E12" w:rsidRPr="00DA083C">
              <w:rPr>
                <w:sz w:val="16"/>
                <w:szCs w:val="16"/>
              </w:rPr>
              <w:t>X</w:t>
            </w:r>
          </w:p>
        </w:tc>
        <w:tc>
          <w:tcPr>
            <w:tcW w:w="6946" w:type="dxa"/>
            <w:vAlign w:val="center"/>
          </w:tcPr>
          <w:p w14:paraId="540A31A0" w14:textId="2ED9B0FD" w:rsidR="00FE56B7" w:rsidRPr="00DA083C" w:rsidRDefault="00FE56B7" w:rsidP="00FE56B7">
            <w:pPr>
              <w:jc w:val="both"/>
              <w:rPr>
                <w:sz w:val="16"/>
                <w:szCs w:val="16"/>
              </w:rPr>
            </w:pPr>
            <w:r w:rsidRPr="00DA083C">
              <w:rPr>
                <w:sz w:val="16"/>
                <w:szCs w:val="16"/>
              </w:rPr>
              <w:t>KRRZ odporúča</w:t>
            </w:r>
            <w:r w:rsidRPr="00DA083C">
              <w:rPr>
                <w:b/>
                <w:bCs/>
                <w:sz w:val="16"/>
                <w:szCs w:val="16"/>
              </w:rPr>
              <w:t xml:space="preserve"> vypustiť návrh, aby rodičovský dôchodok nebol považovaný za príjem</w:t>
            </w:r>
            <w:r w:rsidRPr="00DA083C">
              <w:rPr>
                <w:sz w:val="16"/>
                <w:szCs w:val="16"/>
              </w:rPr>
              <w:t xml:space="preserve"> na účely určenia súm </w:t>
            </w:r>
            <w:r w:rsidRPr="00DA083C">
              <w:rPr>
                <w:b/>
                <w:bCs/>
                <w:sz w:val="16"/>
                <w:szCs w:val="16"/>
              </w:rPr>
              <w:t>životného minima</w:t>
            </w:r>
            <w:r w:rsidRPr="00DA083C">
              <w:rPr>
                <w:sz w:val="16"/>
                <w:szCs w:val="16"/>
              </w:rPr>
              <w:t xml:space="preserve"> a účely poskytovania peňažných </w:t>
            </w:r>
            <w:r w:rsidRPr="00DA083C">
              <w:rPr>
                <w:b/>
                <w:bCs/>
                <w:sz w:val="16"/>
                <w:szCs w:val="16"/>
              </w:rPr>
              <w:t>príspevkov na kompenzáciu</w:t>
            </w:r>
            <w:r w:rsidRPr="00DA083C">
              <w:rPr>
                <w:sz w:val="16"/>
                <w:szCs w:val="16"/>
              </w:rPr>
              <w:t xml:space="preserve">. </w:t>
            </w:r>
          </w:p>
          <w:p w14:paraId="7EEFA276" w14:textId="77777777" w:rsidR="00FE56B7" w:rsidRPr="00DA083C" w:rsidRDefault="00FE56B7" w:rsidP="00FE56B7">
            <w:pPr>
              <w:jc w:val="both"/>
              <w:rPr>
                <w:sz w:val="16"/>
                <w:szCs w:val="16"/>
              </w:rPr>
            </w:pPr>
          </w:p>
          <w:p w14:paraId="6D321417" w14:textId="2F11DB44" w:rsidR="00FE56B7" w:rsidRPr="00DA083C" w:rsidRDefault="00FE56B7" w:rsidP="00FE56B7">
            <w:pPr>
              <w:jc w:val="both"/>
              <w:rPr>
                <w:sz w:val="16"/>
                <w:szCs w:val="16"/>
              </w:rPr>
            </w:pPr>
            <w:r w:rsidRPr="00DA083C">
              <w:rPr>
                <w:sz w:val="16"/>
                <w:szCs w:val="16"/>
              </w:rPr>
              <w:t xml:space="preserve">Zdôvodnenie: Rodičovský dôchodok má byť podľa návrhu zákona pravidelná mesačná dávka sociálneho poistenia, a preto nie je dôvod pre </w:t>
            </w:r>
            <w:r w:rsidR="46476A6F" w:rsidRPr="00DA083C">
              <w:rPr>
                <w:sz w:val="16"/>
                <w:szCs w:val="16"/>
              </w:rPr>
              <w:t xml:space="preserve">jeho </w:t>
            </w:r>
            <w:r w:rsidRPr="00DA083C">
              <w:rPr>
                <w:sz w:val="16"/>
                <w:szCs w:val="16"/>
              </w:rPr>
              <w:t xml:space="preserve">vypustenie z príjmov, ktoré sa posudzujú na účely určenia súm životného minima (a teda dávok v hmotnej núdzi) a účely poskytovania peňažných príspevkov na kompenzáciu. </w:t>
            </w:r>
          </w:p>
          <w:p w14:paraId="01CFC11E" w14:textId="77777777" w:rsidR="00FE56B7" w:rsidRPr="00DA083C" w:rsidRDefault="00FE56B7" w:rsidP="00FE56B7">
            <w:pPr>
              <w:jc w:val="both"/>
              <w:rPr>
                <w:sz w:val="16"/>
                <w:szCs w:val="16"/>
              </w:rPr>
            </w:pPr>
          </w:p>
          <w:p w14:paraId="0CD940F9" w14:textId="755A3F72" w:rsidR="00FE56B7" w:rsidRPr="00DA083C" w:rsidRDefault="00FE56B7" w:rsidP="00FE56B7">
            <w:pPr>
              <w:jc w:val="both"/>
              <w:rPr>
                <w:sz w:val="16"/>
                <w:szCs w:val="16"/>
              </w:rPr>
            </w:pPr>
            <w:r w:rsidRPr="00DA083C">
              <w:rPr>
                <w:sz w:val="16"/>
                <w:szCs w:val="16"/>
              </w:rPr>
              <w:t>Predkladateľ ako dôvod uvádza, že „</w:t>
            </w:r>
            <w:r w:rsidRPr="00DA083C">
              <w:rPr>
                <w:i/>
                <w:iCs/>
                <w:sz w:val="16"/>
                <w:szCs w:val="16"/>
              </w:rPr>
              <w:t xml:space="preserve">by bolo administratívne náročné prehodnocovanie príjmov“. </w:t>
            </w:r>
            <w:r w:rsidRPr="00DA083C">
              <w:rPr>
                <w:sz w:val="16"/>
                <w:szCs w:val="16"/>
              </w:rPr>
              <w:t xml:space="preserve">Z pohľadu KRRZ tento argument nemá reálny základ vzhľadom na to, že nárok na výplatu rodičovského dôchodku vzniká aj zaniká (s výnimkou smrti poberateľa) vždy ku 1. januáru, pričom jeho výška sa v priebehu roka nemení. </w:t>
            </w:r>
          </w:p>
          <w:p w14:paraId="4B8CAE1F" w14:textId="0E988955" w:rsidR="00FE56B7" w:rsidRPr="00DA083C" w:rsidRDefault="00FE56B7" w:rsidP="00FE56B7">
            <w:pPr>
              <w:jc w:val="both"/>
              <w:rPr>
                <w:sz w:val="16"/>
                <w:szCs w:val="16"/>
              </w:rPr>
            </w:pPr>
          </w:p>
        </w:tc>
        <w:tc>
          <w:tcPr>
            <w:tcW w:w="855" w:type="dxa"/>
            <w:vAlign w:val="center"/>
          </w:tcPr>
          <w:p w14:paraId="6F00B77F" w14:textId="0768B339" w:rsidR="00FE56B7" w:rsidRPr="00DA083C" w:rsidRDefault="00FE56B7" w:rsidP="00FE56B7">
            <w:pPr>
              <w:jc w:val="center"/>
              <w:rPr>
                <w:sz w:val="16"/>
                <w:szCs w:val="16"/>
              </w:rPr>
            </w:pPr>
            <w:r w:rsidRPr="00DA083C">
              <w:rPr>
                <w:sz w:val="16"/>
                <w:szCs w:val="16"/>
              </w:rPr>
              <w:lastRenderedPageBreak/>
              <w:t>zásadná</w:t>
            </w:r>
          </w:p>
        </w:tc>
      </w:tr>
      <w:tr w:rsidR="00FE56B7" w:rsidRPr="00DA083C" w14:paraId="01FC7B4E" w14:textId="77777777" w:rsidTr="001003B1">
        <w:trPr>
          <w:trHeight w:val="468"/>
          <w:jc w:val="center"/>
        </w:trPr>
        <w:tc>
          <w:tcPr>
            <w:tcW w:w="805" w:type="dxa"/>
            <w:vAlign w:val="center"/>
          </w:tcPr>
          <w:p w14:paraId="72302034" w14:textId="70B000FF" w:rsidR="00FE56B7" w:rsidRPr="00DA083C" w:rsidRDefault="00FE56B7" w:rsidP="00FE56B7">
            <w:pPr>
              <w:rPr>
                <w:sz w:val="16"/>
                <w:szCs w:val="16"/>
              </w:rPr>
            </w:pPr>
            <w:r w:rsidRPr="00DA083C">
              <w:rPr>
                <w:sz w:val="16"/>
                <w:szCs w:val="16"/>
              </w:rPr>
              <w:t>KRRZ</w:t>
            </w:r>
          </w:p>
        </w:tc>
        <w:tc>
          <w:tcPr>
            <w:tcW w:w="1033" w:type="dxa"/>
            <w:vAlign w:val="center"/>
          </w:tcPr>
          <w:p w14:paraId="3B505EA8" w14:textId="2DDE7E54" w:rsidR="00FE56B7" w:rsidRPr="00DA083C" w:rsidRDefault="00FE56B7" w:rsidP="00FE56B7">
            <w:pPr>
              <w:jc w:val="center"/>
              <w:rPr>
                <w:sz w:val="16"/>
                <w:szCs w:val="16"/>
              </w:rPr>
            </w:pPr>
            <w:r w:rsidRPr="00DA083C">
              <w:rPr>
                <w:sz w:val="16"/>
                <w:szCs w:val="16"/>
              </w:rPr>
              <w:t>Čl. I Bod 148</w:t>
            </w:r>
          </w:p>
        </w:tc>
        <w:tc>
          <w:tcPr>
            <w:tcW w:w="6946" w:type="dxa"/>
            <w:vAlign w:val="center"/>
          </w:tcPr>
          <w:p w14:paraId="154C1EF0" w14:textId="2BF6E589" w:rsidR="00FE56B7" w:rsidRPr="00DA083C" w:rsidRDefault="00FE56B7" w:rsidP="00FE56B7">
            <w:pPr>
              <w:jc w:val="both"/>
              <w:rPr>
                <w:sz w:val="16"/>
                <w:szCs w:val="16"/>
              </w:rPr>
            </w:pPr>
            <w:r w:rsidRPr="00DA083C">
              <w:rPr>
                <w:sz w:val="16"/>
                <w:szCs w:val="16"/>
              </w:rPr>
              <w:t>V prechodnom ustanovení § 293fw vzniká problém nejasnosti/nemožnosti určenia dôchodkového veku určitým poistencom. Do návrhu tohto prechodného ustanovenia bol prenesený vecný obsah pôvodného znenia § 65, ods. 2, na ktorý sa následne viazali odseky 3 a 4 (tieto dva odseky sú pre určenie dôchodkového veku nutné). Na toto prechodné ustanovenie sa už pôvodné odseky 3 a 4 neviažu (v novom znení ide o prečíslované odseky 6 a 7). Navrhujeme túto chybu opraviť.</w:t>
            </w:r>
          </w:p>
        </w:tc>
        <w:tc>
          <w:tcPr>
            <w:tcW w:w="855" w:type="dxa"/>
            <w:vAlign w:val="center"/>
          </w:tcPr>
          <w:p w14:paraId="244B90BD" w14:textId="3FE0E8CB" w:rsidR="00FE56B7" w:rsidRPr="00DA083C" w:rsidRDefault="00FE56B7" w:rsidP="00FE56B7">
            <w:pPr>
              <w:jc w:val="center"/>
              <w:rPr>
                <w:sz w:val="16"/>
                <w:szCs w:val="16"/>
              </w:rPr>
            </w:pPr>
            <w:r w:rsidRPr="00DA083C">
              <w:rPr>
                <w:sz w:val="16"/>
                <w:szCs w:val="16"/>
              </w:rPr>
              <w:t>obyčajná</w:t>
            </w:r>
          </w:p>
        </w:tc>
      </w:tr>
      <w:tr w:rsidR="00FE56B7" w:rsidRPr="00DA083C" w14:paraId="2E806CDD" w14:textId="77777777" w:rsidTr="001003B1">
        <w:trPr>
          <w:trHeight w:val="468"/>
          <w:jc w:val="center"/>
        </w:trPr>
        <w:tc>
          <w:tcPr>
            <w:tcW w:w="805" w:type="dxa"/>
            <w:vAlign w:val="center"/>
          </w:tcPr>
          <w:p w14:paraId="540AC374" w14:textId="6A665BDD" w:rsidR="00FE56B7" w:rsidRPr="00DA083C" w:rsidRDefault="00FE56B7" w:rsidP="00FE56B7">
            <w:pPr>
              <w:rPr>
                <w:sz w:val="16"/>
                <w:szCs w:val="16"/>
              </w:rPr>
            </w:pPr>
            <w:r w:rsidRPr="00DA083C">
              <w:rPr>
                <w:sz w:val="16"/>
                <w:szCs w:val="16"/>
              </w:rPr>
              <w:t>KRRZ</w:t>
            </w:r>
          </w:p>
        </w:tc>
        <w:tc>
          <w:tcPr>
            <w:tcW w:w="1033" w:type="dxa"/>
            <w:vAlign w:val="center"/>
          </w:tcPr>
          <w:p w14:paraId="3BF91CB9" w14:textId="73DF19A1" w:rsidR="00FE56B7" w:rsidRPr="00DA083C" w:rsidRDefault="00FE56B7" w:rsidP="00FE56B7">
            <w:pPr>
              <w:jc w:val="center"/>
              <w:rPr>
                <w:sz w:val="16"/>
                <w:szCs w:val="16"/>
              </w:rPr>
            </w:pPr>
            <w:r w:rsidRPr="00DA083C">
              <w:rPr>
                <w:sz w:val="16"/>
                <w:szCs w:val="16"/>
              </w:rPr>
              <w:t>Čl. I Bod 148</w:t>
            </w:r>
          </w:p>
        </w:tc>
        <w:tc>
          <w:tcPr>
            <w:tcW w:w="6946" w:type="dxa"/>
            <w:vAlign w:val="center"/>
          </w:tcPr>
          <w:p w14:paraId="5ECFA80B" w14:textId="07145405" w:rsidR="00FE56B7" w:rsidRPr="00DA083C" w:rsidRDefault="00FE56B7" w:rsidP="00FE56B7">
            <w:pPr>
              <w:jc w:val="both"/>
              <w:rPr>
                <w:sz w:val="16"/>
                <w:szCs w:val="16"/>
              </w:rPr>
            </w:pPr>
            <w:r w:rsidRPr="00DA083C">
              <w:rPr>
                <w:sz w:val="16"/>
                <w:szCs w:val="16"/>
              </w:rPr>
              <w:t>Vo väzbe na prechodné ustanovenie § 293fw ostávajú prílohy č. 3a a č. 3b v pôvodnom znení. Tieto definujú dôchodkové veky aj pre skupiny s rokom narodenia poistenca „</w:t>
            </w:r>
            <w:r w:rsidRPr="00DA083C">
              <w:rPr>
                <w:b/>
                <w:bCs/>
                <w:sz w:val="16"/>
                <w:szCs w:val="16"/>
              </w:rPr>
              <w:t>1966 a viac“.</w:t>
            </w:r>
            <w:r w:rsidRPr="00DA083C">
              <w:rPr>
                <w:sz w:val="16"/>
                <w:szCs w:val="16"/>
              </w:rPr>
              <w:t xml:space="preserve"> Dôchodkové veky ročníkov narodenia po roku 1966 však určuje iné ustanovenie zákona (previazanie na strednú dĺžku života). Z dôvodu zabezpečenia právnej istoty a jednoznačnosti navrhujeme text „1966 a viac“ zmeniť na text „1966“.</w:t>
            </w:r>
          </w:p>
        </w:tc>
        <w:tc>
          <w:tcPr>
            <w:tcW w:w="855" w:type="dxa"/>
            <w:vAlign w:val="center"/>
          </w:tcPr>
          <w:p w14:paraId="5F6E88BC" w14:textId="259DB60F" w:rsidR="00FE56B7" w:rsidRPr="00DA083C" w:rsidRDefault="00FE56B7" w:rsidP="00FE56B7">
            <w:pPr>
              <w:jc w:val="center"/>
              <w:rPr>
                <w:sz w:val="16"/>
                <w:szCs w:val="16"/>
              </w:rPr>
            </w:pPr>
            <w:r w:rsidRPr="00DA083C">
              <w:rPr>
                <w:sz w:val="16"/>
                <w:szCs w:val="16"/>
              </w:rPr>
              <w:t>obyčajná</w:t>
            </w:r>
          </w:p>
        </w:tc>
      </w:tr>
      <w:tr w:rsidR="00FE56B7" w:rsidRPr="00DA083C" w14:paraId="25FBA6EF" w14:textId="77777777" w:rsidTr="001003B1">
        <w:trPr>
          <w:trHeight w:val="468"/>
          <w:jc w:val="center"/>
        </w:trPr>
        <w:tc>
          <w:tcPr>
            <w:tcW w:w="805" w:type="dxa"/>
            <w:vAlign w:val="center"/>
          </w:tcPr>
          <w:p w14:paraId="7696056F" w14:textId="431EC83B" w:rsidR="00FE56B7" w:rsidRPr="00DA083C" w:rsidRDefault="00FE56B7" w:rsidP="00FE56B7">
            <w:pPr>
              <w:rPr>
                <w:sz w:val="16"/>
                <w:szCs w:val="16"/>
              </w:rPr>
            </w:pPr>
            <w:r w:rsidRPr="00DA083C">
              <w:rPr>
                <w:sz w:val="16"/>
                <w:szCs w:val="16"/>
              </w:rPr>
              <w:t>KRRZ</w:t>
            </w:r>
          </w:p>
        </w:tc>
        <w:tc>
          <w:tcPr>
            <w:tcW w:w="1033" w:type="dxa"/>
            <w:vAlign w:val="center"/>
          </w:tcPr>
          <w:p w14:paraId="745B5C85" w14:textId="0EF44C63" w:rsidR="00FE56B7" w:rsidRPr="00DA083C" w:rsidRDefault="00FE56B7" w:rsidP="00FE56B7">
            <w:pPr>
              <w:jc w:val="center"/>
              <w:rPr>
                <w:sz w:val="16"/>
                <w:szCs w:val="16"/>
              </w:rPr>
            </w:pPr>
            <w:r w:rsidRPr="00DA083C">
              <w:rPr>
                <w:sz w:val="16"/>
                <w:szCs w:val="16"/>
              </w:rPr>
              <w:t>Čl. I Bod 148</w:t>
            </w:r>
          </w:p>
        </w:tc>
        <w:tc>
          <w:tcPr>
            <w:tcW w:w="6946" w:type="dxa"/>
            <w:vAlign w:val="center"/>
          </w:tcPr>
          <w:p w14:paraId="6FF95B6A" w14:textId="603F5D4A" w:rsidR="00FE56B7" w:rsidRPr="00DA083C" w:rsidRDefault="00FE56B7" w:rsidP="00FE56B7">
            <w:pPr>
              <w:jc w:val="both"/>
              <w:rPr>
                <w:sz w:val="16"/>
                <w:szCs w:val="16"/>
              </w:rPr>
            </w:pPr>
            <w:r w:rsidRPr="00DA083C">
              <w:rPr>
                <w:sz w:val="16"/>
                <w:szCs w:val="16"/>
              </w:rPr>
              <w:t xml:space="preserve">Vo väzbe na prechodné ustanovenie § 293fw ostávajú prílohy č. 3a a č. 3b v pôvodnom znení. V zákone by tak mal ostať rozdiel v dôchodkových vekoch pre mužov, ktorí vychovali jedno dieťa, narodených v roku 1963 a ženy, ktoré vychovali jedno dieťa, narodené v roku 1963. Rozdiel veľkosti jedného mesiaca medzi dôchodkovými vekmi medzi prílohami č. 3a a č 3b vznikol </w:t>
            </w:r>
            <w:r w:rsidRPr="00DA083C">
              <w:rPr>
                <w:b/>
                <w:bCs/>
                <w:sz w:val="16"/>
                <w:szCs w:val="16"/>
              </w:rPr>
              <w:t>pravdepodobne tlačovou chybou</w:t>
            </w:r>
            <w:r w:rsidRPr="00DA083C">
              <w:rPr>
                <w:sz w:val="16"/>
                <w:szCs w:val="16"/>
              </w:rPr>
              <w:t>. Navrhujeme vzniknutú diskrimináciu na základe pohlavia odstrániť, t.j. aj ženám v prílohe č. 3a ustanoviť pre tie, ktoré vychovali jedno dieťa a boli narodené v roku 1963 dôchodkový vek na úrovni 63 rokov tak, ako ho majú uvedený muži narodení v roku 1963, ktorí vychovali jedno dieťa.</w:t>
            </w:r>
          </w:p>
        </w:tc>
        <w:tc>
          <w:tcPr>
            <w:tcW w:w="855" w:type="dxa"/>
            <w:vAlign w:val="center"/>
          </w:tcPr>
          <w:p w14:paraId="4C34F083" w14:textId="55E4013A" w:rsidR="00FE56B7" w:rsidRPr="00DA083C" w:rsidRDefault="00FE56B7" w:rsidP="00FE56B7">
            <w:pPr>
              <w:jc w:val="center"/>
              <w:rPr>
                <w:sz w:val="16"/>
                <w:szCs w:val="16"/>
              </w:rPr>
            </w:pPr>
            <w:r w:rsidRPr="00DA083C">
              <w:rPr>
                <w:sz w:val="16"/>
                <w:szCs w:val="16"/>
              </w:rPr>
              <w:t>obyčajná</w:t>
            </w:r>
          </w:p>
        </w:tc>
      </w:tr>
      <w:tr w:rsidR="00FE56B7" w:rsidRPr="00DA083C" w14:paraId="55080AA9" w14:textId="77777777" w:rsidTr="001003B1">
        <w:trPr>
          <w:trHeight w:val="468"/>
          <w:jc w:val="center"/>
        </w:trPr>
        <w:tc>
          <w:tcPr>
            <w:tcW w:w="805" w:type="dxa"/>
            <w:vAlign w:val="center"/>
          </w:tcPr>
          <w:p w14:paraId="66966511" w14:textId="00A9153D" w:rsidR="00FE56B7" w:rsidRPr="00DA083C" w:rsidRDefault="00FE56B7" w:rsidP="00FE56B7">
            <w:pPr>
              <w:rPr>
                <w:sz w:val="16"/>
                <w:szCs w:val="16"/>
              </w:rPr>
            </w:pPr>
            <w:r w:rsidRPr="00DA083C">
              <w:rPr>
                <w:sz w:val="16"/>
                <w:szCs w:val="16"/>
              </w:rPr>
              <w:t>KRRZ</w:t>
            </w:r>
          </w:p>
        </w:tc>
        <w:tc>
          <w:tcPr>
            <w:tcW w:w="1033" w:type="dxa"/>
            <w:vAlign w:val="center"/>
          </w:tcPr>
          <w:p w14:paraId="32B0215B" w14:textId="71A0824D" w:rsidR="00FE56B7" w:rsidRPr="00DA083C" w:rsidRDefault="00FE56B7" w:rsidP="00FE56B7">
            <w:pPr>
              <w:jc w:val="center"/>
              <w:rPr>
                <w:sz w:val="16"/>
                <w:szCs w:val="16"/>
              </w:rPr>
            </w:pPr>
            <w:r w:rsidRPr="00DA083C">
              <w:rPr>
                <w:sz w:val="16"/>
                <w:szCs w:val="16"/>
              </w:rPr>
              <w:t>Čl. I Bod 148</w:t>
            </w:r>
          </w:p>
        </w:tc>
        <w:tc>
          <w:tcPr>
            <w:tcW w:w="6946" w:type="dxa"/>
            <w:vAlign w:val="center"/>
          </w:tcPr>
          <w:p w14:paraId="7C2E4178" w14:textId="5F4C4C3F" w:rsidR="00FE56B7" w:rsidRPr="00DA083C" w:rsidRDefault="00FE56B7" w:rsidP="00FE56B7">
            <w:pPr>
              <w:jc w:val="both"/>
              <w:rPr>
                <w:sz w:val="16"/>
                <w:szCs w:val="16"/>
              </w:rPr>
            </w:pPr>
            <w:r w:rsidRPr="00DA083C">
              <w:rPr>
                <w:sz w:val="16"/>
                <w:szCs w:val="16"/>
              </w:rPr>
              <w:t>Vo väzbe na prechodné ustanovenie § 293fw ostávajú prílohy č. 3a a č. 3b v pôvodnom znení. V zákone by tak mal ostať diskriminačný rozdiel v dôchodkových vekoch pre mužov, ktorí vychovali 5 detí alebo viac detí a pre ženy, ktoré vychovali 5 detí alebo viac detí. V prílohe č. 3b totiž nie sú definované dôchodkové veky pre mužov, ktorí vychovali 5 detí alebo viac detí. Táto kategória mužov spadá do kategórie mužov, ktorí vychovali 3 deti alebo viac detí, avšak táto má odlišné dôchodkové veky.</w:t>
            </w:r>
          </w:p>
          <w:p w14:paraId="29FC7448" w14:textId="3090DDE9" w:rsidR="00FE56B7" w:rsidRPr="00DA083C" w:rsidRDefault="00FE56B7" w:rsidP="00FE56B7">
            <w:pPr>
              <w:jc w:val="both"/>
              <w:rPr>
                <w:sz w:val="16"/>
                <w:szCs w:val="16"/>
              </w:rPr>
            </w:pPr>
            <w:r w:rsidRPr="00DA083C">
              <w:rPr>
                <w:sz w:val="16"/>
                <w:szCs w:val="16"/>
              </w:rPr>
              <w:t>Navrhujeme túto diskrimináciu na základe pohlavia odstrániť.</w:t>
            </w:r>
          </w:p>
        </w:tc>
        <w:tc>
          <w:tcPr>
            <w:tcW w:w="855" w:type="dxa"/>
            <w:vAlign w:val="center"/>
          </w:tcPr>
          <w:p w14:paraId="5505A7ED" w14:textId="56D4BE3F" w:rsidR="00FE56B7" w:rsidRPr="00DA083C" w:rsidRDefault="00FE56B7" w:rsidP="00FE56B7">
            <w:pPr>
              <w:jc w:val="center"/>
              <w:rPr>
                <w:sz w:val="16"/>
                <w:szCs w:val="16"/>
              </w:rPr>
            </w:pPr>
            <w:r w:rsidRPr="00DA083C">
              <w:rPr>
                <w:sz w:val="16"/>
                <w:szCs w:val="16"/>
              </w:rPr>
              <w:t>obyčajná</w:t>
            </w:r>
          </w:p>
        </w:tc>
      </w:tr>
      <w:tr w:rsidR="00FE56B7" w:rsidRPr="00DA083C" w14:paraId="62B9CDA4" w14:textId="77777777" w:rsidTr="001003B1">
        <w:trPr>
          <w:trHeight w:val="468"/>
          <w:jc w:val="center"/>
        </w:trPr>
        <w:tc>
          <w:tcPr>
            <w:tcW w:w="805" w:type="dxa"/>
            <w:vAlign w:val="center"/>
          </w:tcPr>
          <w:p w14:paraId="735F09E8" w14:textId="1C3428C3" w:rsidR="00FE56B7" w:rsidRPr="00DA083C" w:rsidRDefault="00FE56B7" w:rsidP="00FE56B7">
            <w:pPr>
              <w:rPr>
                <w:sz w:val="16"/>
                <w:szCs w:val="16"/>
              </w:rPr>
            </w:pPr>
            <w:r w:rsidRPr="00DA083C">
              <w:rPr>
                <w:sz w:val="16"/>
                <w:szCs w:val="16"/>
              </w:rPr>
              <w:t>KRRZ</w:t>
            </w:r>
          </w:p>
        </w:tc>
        <w:tc>
          <w:tcPr>
            <w:tcW w:w="1033" w:type="dxa"/>
            <w:vAlign w:val="center"/>
          </w:tcPr>
          <w:p w14:paraId="200BF662" w14:textId="1CAFADA3" w:rsidR="00FE56B7" w:rsidRPr="00DA083C" w:rsidRDefault="00FE56B7" w:rsidP="00FE56B7">
            <w:pPr>
              <w:jc w:val="center"/>
              <w:rPr>
                <w:sz w:val="16"/>
                <w:szCs w:val="16"/>
              </w:rPr>
            </w:pPr>
            <w:r w:rsidRPr="00DA083C">
              <w:rPr>
                <w:sz w:val="16"/>
                <w:szCs w:val="16"/>
              </w:rPr>
              <w:t>Čl. I Bod 149</w:t>
            </w:r>
          </w:p>
        </w:tc>
        <w:tc>
          <w:tcPr>
            <w:tcW w:w="6946" w:type="dxa"/>
            <w:vAlign w:val="center"/>
          </w:tcPr>
          <w:p w14:paraId="4CB79718" w14:textId="09AF269C" w:rsidR="00FE56B7" w:rsidRPr="00DA083C" w:rsidRDefault="00FE56B7" w:rsidP="00FE56B7">
            <w:pPr>
              <w:jc w:val="both"/>
              <w:rPr>
                <w:sz w:val="16"/>
                <w:szCs w:val="16"/>
              </w:rPr>
            </w:pPr>
            <w:r w:rsidRPr="00DA083C">
              <w:rPr>
                <w:sz w:val="16"/>
                <w:szCs w:val="16"/>
              </w:rPr>
              <w:t xml:space="preserve">KRRZ navrhuje, aby </w:t>
            </w:r>
            <w:r w:rsidRPr="00DA083C">
              <w:rPr>
                <w:b/>
                <w:bCs/>
                <w:sz w:val="16"/>
                <w:szCs w:val="16"/>
              </w:rPr>
              <w:t xml:space="preserve">predkladateľ v dôvodovej správe podrobne vysvetlil dôvody, ktoré ho viedli k návrhu na trvalé znižovanie výšky novopriznaných dôchodkov (tzv. miery náhrady) </w:t>
            </w:r>
            <w:r w:rsidRPr="00DA083C">
              <w:rPr>
                <w:sz w:val="16"/>
                <w:szCs w:val="16"/>
              </w:rPr>
              <w:t>bez akéhokoľvek spodného ohraničenia</w:t>
            </w:r>
            <w:r w:rsidR="002E358A" w:rsidRPr="00DA083C">
              <w:rPr>
                <w:sz w:val="16"/>
                <w:szCs w:val="16"/>
              </w:rPr>
              <w:t xml:space="preserve">, alebo </w:t>
            </w:r>
            <w:r w:rsidR="0011228E" w:rsidRPr="00DA083C">
              <w:rPr>
                <w:sz w:val="16"/>
                <w:szCs w:val="16"/>
              </w:rPr>
              <w:t xml:space="preserve">v zákone </w:t>
            </w:r>
            <w:r w:rsidR="002E358A" w:rsidRPr="00DA083C">
              <w:rPr>
                <w:sz w:val="16"/>
                <w:szCs w:val="16"/>
              </w:rPr>
              <w:t>stanovil spodné ohraničenie</w:t>
            </w:r>
            <w:r w:rsidR="0011228E" w:rsidRPr="00DA083C">
              <w:rPr>
                <w:sz w:val="16"/>
                <w:szCs w:val="16"/>
              </w:rPr>
              <w:t xml:space="preserve"> (cieľovanú úroveň)</w:t>
            </w:r>
            <w:r w:rsidR="009E614A" w:rsidRPr="00DA083C">
              <w:rPr>
                <w:sz w:val="16"/>
                <w:szCs w:val="16"/>
              </w:rPr>
              <w:t>.</w:t>
            </w:r>
            <w:r w:rsidRPr="00DA083C">
              <w:rPr>
                <w:sz w:val="16"/>
                <w:szCs w:val="16"/>
              </w:rPr>
              <w:t xml:space="preserve"> </w:t>
            </w:r>
          </w:p>
          <w:p w14:paraId="50A8389F" w14:textId="77777777" w:rsidR="00FE56B7" w:rsidRPr="00DA083C" w:rsidRDefault="00FE56B7" w:rsidP="00FE56B7">
            <w:pPr>
              <w:jc w:val="both"/>
              <w:rPr>
                <w:sz w:val="16"/>
                <w:szCs w:val="16"/>
              </w:rPr>
            </w:pPr>
          </w:p>
          <w:p w14:paraId="19D3477F" w14:textId="0B71E4D9" w:rsidR="00FE56B7" w:rsidRPr="00DA083C" w:rsidRDefault="00FE56B7" w:rsidP="00FE56B7">
            <w:pPr>
              <w:jc w:val="both"/>
              <w:rPr>
                <w:sz w:val="16"/>
                <w:szCs w:val="16"/>
              </w:rPr>
            </w:pPr>
            <w:r w:rsidRPr="00DA083C">
              <w:rPr>
                <w:sz w:val="16"/>
                <w:szCs w:val="16"/>
              </w:rPr>
              <w:t>Zdôvodnenie:</w:t>
            </w:r>
            <w:r w:rsidR="00BE2379" w:rsidRPr="00DA083C">
              <w:rPr>
                <w:sz w:val="16"/>
                <w:szCs w:val="16"/>
              </w:rPr>
              <w:t xml:space="preserve"> </w:t>
            </w:r>
            <w:r w:rsidRPr="00DA083C">
              <w:rPr>
                <w:sz w:val="16"/>
                <w:szCs w:val="16"/>
              </w:rPr>
              <w:t xml:space="preserve">Trvalé spomalenie rastu ADH zo 100% rastu miezd na 95% by každoročne znižovalo mieru náhrady novopriznaných dôchodkov bez akéhokoľvek </w:t>
            </w:r>
            <w:r w:rsidR="001775B3" w:rsidRPr="00DA083C">
              <w:rPr>
                <w:sz w:val="16"/>
                <w:szCs w:val="16"/>
              </w:rPr>
              <w:t xml:space="preserve">dlhodobého </w:t>
            </w:r>
            <w:r w:rsidRPr="00DA083C">
              <w:rPr>
                <w:sz w:val="16"/>
                <w:szCs w:val="16"/>
              </w:rPr>
              <w:t xml:space="preserve">obmedzenia spodnej hranice jej </w:t>
            </w:r>
            <w:r w:rsidR="00FA29F6" w:rsidRPr="00DA083C">
              <w:rPr>
                <w:sz w:val="16"/>
                <w:szCs w:val="16"/>
              </w:rPr>
              <w:t>zníženia</w:t>
            </w:r>
            <w:r w:rsidR="00933963" w:rsidRPr="00DA083C">
              <w:rPr>
                <w:sz w:val="16"/>
                <w:szCs w:val="16"/>
              </w:rPr>
              <w:t>.</w:t>
            </w:r>
            <w:r w:rsidRPr="00DA083C">
              <w:rPr>
                <w:sz w:val="16"/>
                <w:szCs w:val="16"/>
              </w:rPr>
              <w:t xml:space="preserve"> KRRZ odporúča určiť maximálne </w:t>
            </w:r>
            <w:r w:rsidR="00FA29F6" w:rsidRPr="00DA083C">
              <w:rPr>
                <w:sz w:val="16"/>
                <w:szCs w:val="16"/>
              </w:rPr>
              <w:t xml:space="preserve">zníženie </w:t>
            </w:r>
            <w:r w:rsidR="289E7639" w:rsidRPr="00DA083C">
              <w:rPr>
                <w:sz w:val="16"/>
                <w:szCs w:val="16"/>
              </w:rPr>
              <w:t>mier</w:t>
            </w:r>
            <w:r w:rsidR="69F704D3" w:rsidRPr="00DA083C">
              <w:rPr>
                <w:sz w:val="16"/>
                <w:szCs w:val="16"/>
              </w:rPr>
              <w:t>y</w:t>
            </w:r>
            <w:r w:rsidRPr="00DA083C">
              <w:rPr>
                <w:sz w:val="16"/>
                <w:szCs w:val="16"/>
              </w:rPr>
              <w:t xml:space="preserve"> náhrady, ktoré by mohlo byť napríklad definované ako minimálny podiel výšky ADH na priemernej mzde.</w:t>
            </w:r>
          </w:p>
          <w:p w14:paraId="48CFB79F" w14:textId="6A75399C" w:rsidR="00FE56B7" w:rsidRPr="00DA083C" w:rsidRDefault="00FE56B7" w:rsidP="00FE56B7">
            <w:pPr>
              <w:jc w:val="both"/>
              <w:rPr>
                <w:sz w:val="16"/>
                <w:szCs w:val="16"/>
              </w:rPr>
            </w:pPr>
            <w:r w:rsidRPr="00DA083C">
              <w:rPr>
                <w:sz w:val="16"/>
                <w:szCs w:val="16"/>
              </w:rPr>
              <w:t xml:space="preserve">Z pohľadu dlhodobej udržateľnosti ide síce o opatrenie s pozitívnym vplyvom na verejné financie, na druhej strane je potrebné citlivo posudzovať podobné zmeny aj v kontexte ich spoločenskej (politickej) udržateľnosti a redistribučných dopadov na jednotlivé skupiny v rámci dnes žijúcich generácií poistencov a dôchodcov ako aj medzi dnešnými a budúcimi generáciami. </w:t>
            </w:r>
          </w:p>
          <w:p w14:paraId="05F7C3C7" w14:textId="46BFD809" w:rsidR="00FE56B7" w:rsidRPr="00DA083C" w:rsidRDefault="00FE56B7" w:rsidP="00FE56B7">
            <w:pPr>
              <w:jc w:val="both"/>
              <w:rPr>
                <w:sz w:val="16"/>
                <w:szCs w:val="16"/>
              </w:rPr>
            </w:pPr>
          </w:p>
        </w:tc>
        <w:tc>
          <w:tcPr>
            <w:tcW w:w="855" w:type="dxa"/>
            <w:vAlign w:val="center"/>
          </w:tcPr>
          <w:p w14:paraId="0D1E6949" w14:textId="7C210F48" w:rsidR="00FE56B7" w:rsidRPr="00DA083C" w:rsidRDefault="00FE56B7" w:rsidP="00FE56B7">
            <w:pPr>
              <w:jc w:val="center"/>
              <w:rPr>
                <w:sz w:val="16"/>
                <w:szCs w:val="16"/>
              </w:rPr>
            </w:pPr>
            <w:r w:rsidRPr="00DA083C">
              <w:rPr>
                <w:sz w:val="16"/>
                <w:szCs w:val="16"/>
              </w:rPr>
              <w:t>zásadná</w:t>
            </w:r>
          </w:p>
        </w:tc>
      </w:tr>
      <w:tr w:rsidR="00FE56B7" w:rsidRPr="00DA083C" w14:paraId="3639E109" w14:textId="77777777" w:rsidTr="001003B1">
        <w:trPr>
          <w:trHeight w:val="468"/>
          <w:jc w:val="center"/>
        </w:trPr>
        <w:tc>
          <w:tcPr>
            <w:tcW w:w="805" w:type="dxa"/>
            <w:vAlign w:val="center"/>
          </w:tcPr>
          <w:p w14:paraId="10252DD6" w14:textId="697D84B5" w:rsidR="00FE56B7" w:rsidRPr="00DA083C" w:rsidRDefault="00FE56B7" w:rsidP="00FE56B7">
            <w:pPr>
              <w:rPr>
                <w:sz w:val="16"/>
                <w:szCs w:val="16"/>
              </w:rPr>
            </w:pPr>
            <w:r w:rsidRPr="00DA083C">
              <w:rPr>
                <w:sz w:val="16"/>
                <w:szCs w:val="16"/>
              </w:rPr>
              <w:t>KRRZ</w:t>
            </w:r>
          </w:p>
        </w:tc>
        <w:tc>
          <w:tcPr>
            <w:tcW w:w="1033" w:type="dxa"/>
            <w:vAlign w:val="center"/>
          </w:tcPr>
          <w:p w14:paraId="7D5C239C" w14:textId="24E6EEC4" w:rsidR="00FE56B7" w:rsidRPr="00DA083C" w:rsidRDefault="00FE56B7" w:rsidP="00FE56B7">
            <w:pPr>
              <w:jc w:val="center"/>
              <w:rPr>
                <w:sz w:val="16"/>
                <w:szCs w:val="16"/>
              </w:rPr>
            </w:pPr>
            <w:r w:rsidRPr="00DA083C">
              <w:rPr>
                <w:sz w:val="16"/>
                <w:szCs w:val="16"/>
              </w:rPr>
              <w:t>Čl. I Bod 150</w:t>
            </w:r>
          </w:p>
        </w:tc>
        <w:tc>
          <w:tcPr>
            <w:tcW w:w="6946" w:type="dxa"/>
            <w:vAlign w:val="center"/>
          </w:tcPr>
          <w:p w14:paraId="52CF12B4" w14:textId="22A6DA21" w:rsidR="00FE56B7" w:rsidRPr="00DA083C" w:rsidRDefault="00FE56B7" w:rsidP="00FE56B7">
            <w:pPr>
              <w:jc w:val="both"/>
              <w:rPr>
                <w:sz w:val="16"/>
                <w:szCs w:val="16"/>
              </w:rPr>
            </w:pPr>
            <w:r w:rsidRPr="00DA083C">
              <w:rPr>
                <w:sz w:val="16"/>
                <w:szCs w:val="16"/>
              </w:rPr>
              <w:t>K prílohe č. 3c – v texte „VDV je všeobecný dôchodkový vek pre príslušný ročník, určený v rokoch zaokrúhlených na štyri desatinné miesta“ navrhujeme slovo „zaokrúhlených“ nahradiť slovom „zaokrúhlený“. Predpokladáme, že cieľom je zaokrúhliť VDV a nie roky.</w:t>
            </w:r>
          </w:p>
        </w:tc>
        <w:tc>
          <w:tcPr>
            <w:tcW w:w="855" w:type="dxa"/>
            <w:vAlign w:val="center"/>
          </w:tcPr>
          <w:p w14:paraId="6D0D671E" w14:textId="3F3D17A8" w:rsidR="00FE56B7" w:rsidRPr="00DA083C" w:rsidRDefault="00FE56B7" w:rsidP="00FE56B7">
            <w:pPr>
              <w:jc w:val="center"/>
              <w:rPr>
                <w:sz w:val="16"/>
                <w:szCs w:val="16"/>
              </w:rPr>
            </w:pPr>
            <w:r w:rsidRPr="00DA083C">
              <w:rPr>
                <w:sz w:val="16"/>
                <w:szCs w:val="16"/>
              </w:rPr>
              <w:t>obyčajná</w:t>
            </w:r>
          </w:p>
        </w:tc>
      </w:tr>
      <w:tr w:rsidR="00FE56B7" w:rsidRPr="00DA083C" w14:paraId="24893443" w14:textId="77777777" w:rsidTr="001003B1">
        <w:trPr>
          <w:trHeight w:val="468"/>
          <w:jc w:val="center"/>
        </w:trPr>
        <w:tc>
          <w:tcPr>
            <w:tcW w:w="805" w:type="dxa"/>
            <w:vAlign w:val="center"/>
          </w:tcPr>
          <w:p w14:paraId="01F58587" w14:textId="52EDE387" w:rsidR="00FE56B7" w:rsidRPr="00DA083C" w:rsidRDefault="00FE56B7" w:rsidP="00FE56B7">
            <w:pPr>
              <w:rPr>
                <w:sz w:val="16"/>
                <w:szCs w:val="16"/>
              </w:rPr>
            </w:pPr>
            <w:r w:rsidRPr="00DA083C">
              <w:rPr>
                <w:sz w:val="16"/>
                <w:szCs w:val="16"/>
              </w:rPr>
              <w:t>KRRZ</w:t>
            </w:r>
          </w:p>
        </w:tc>
        <w:tc>
          <w:tcPr>
            <w:tcW w:w="1033" w:type="dxa"/>
            <w:vAlign w:val="center"/>
          </w:tcPr>
          <w:p w14:paraId="43104969" w14:textId="0B3E9D7E" w:rsidR="00FE56B7" w:rsidRPr="00DA083C" w:rsidRDefault="00FE56B7" w:rsidP="00FE56B7">
            <w:pPr>
              <w:jc w:val="center"/>
              <w:rPr>
                <w:sz w:val="16"/>
                <w:szCs w:val="16"/>
              </w:rPr>
            </w:pPr>
            <w:r w:rsidRPr="00DA083C">
              <w:rPr>
                <w:sz w:val="16"/>
                <w:szCs w:val="16"/>
              </w:rPr>
              <w:t>Čl. I Bod 150</w:t>
            </w:r>
          </w:p>
        </w:tc>
        <w:tc>
          <w:tcPr>
            <w:tcW w:w="6946" w:type="dxa"/>
            <w:vAlign w:val="center"/>
          </w:tcPr>
          <w:p w14:paraId="62DD11EB" w14:textId="3E2D8A07" w:rsidR="00FE56B7" w:rsidRPr="00DA083C" w:rsidRDefault="00FE56B7" w:rsidP="00FE56B7">
            <w:pPr>
              <w:jc w:val="both"/>
              <w:rPr>
                <w:sz w:val="16"/>
                <w:szCs w:val="16"/>
              </w:rPr>
            </w:pPr>
            <w:r w:rsidRPr="00DA083C">
              <w:rPr>
                <w:sz w:val="16"/>
                <w:szCs w:val="16"/>
              </w:rPr>
              <w:t xml:space="preserve">K prílohe č. 3c – vo vzorci nie je definovaný vzťah „r“ a „SDŽ“. </w:t>
            </w:r>
            <w:r w:rsidR="00B4177D" w:rsidRPr="00DA083C">
              <w:rPr>
                <w:sz w:val="16"/>
                <w:szCs w:val="16"/>
              </w:rPr>
              <w:t xml:space="preserve">Definícia </w:t>
            </w:r>
            <w:r w:rsidR="00F75F77" w:rsidRPr="00DA083C">
              <w:rPr>
                <w:sz w:val="16"/>
                <w:szCs w:val="16"/>
              </w:rPr>
              <w:t>„</w:t>
            </w:r>
            <w:r w:rsidR="009249D4" w:rsidRPr="00DA083C">
              <w:rPr>
                <w:sz w:val="16"/>
                <w:szCs w:val="16"/>
              </w:rPr>
              <w:t xml:space="preserve">stredná dĺžka života v referenčnom veku, vykázaná štatistickým úradom, spoločná pre mužov a ženy” </w:t>
            </w:r>
            <w:r w:rsidR="00AD1136" w:rsidRPr="00DA083C">
              <w:rPr>
                <w:sz w:val="16"/>
                <w:szCs w:val="16"/>
              </w:rPr>
              <w:t>odkazuje</w:t>
            </w:r>
            <w:r w:rsidR="001B5BF5" w:rsidRPr="00DA083C">
              <w:rPr>
                <w:sz w:val="16"/>
                <w:szCs w:val="16"/>
              </w:rPr>
              <w:t xml:space="preserve"> na </w:t>
            </w:r>
            <w:r w:rsidR="00780C6A" w:rsidRPr="00DA083C">
              <w:rPr>
                <w:sz w:val="16"/>
                <w:szCs w:val="16"/>
              </w:rPr>
              <w:t>referenčný vek</w:t>
            </w:r>
            <w:r w:rsidR="00AC3927" w:rsidRPr="00DA083C">
              <w:rPr>
                <w:sz w:val="16"/>
                <w:szCs w:val="16"/>
              </w:rPr>
              <w:t xml:space="preserve"> (rv)</w:t>
            </w:r>
            <w:r w:rsidR="00780C6A" w:rsidRPr="00DA083C">
              <w:rPr>
                <w:sz w:val="16"/>
                <w:szCs w:val="16"/>
              </w:rPr>
              <w:t xml:space="preserve">, ale prepojenie </w:t>
            </w:r>
            <w:r w:rsidR="00725D43" w:rsidRPr="00DA083C">
              <w:rPr>
                <w:sz w:val="16"/>
                <w:szCs w:val="16"/>
              </w:rPr>
              <w:t>s</w:t>
            </w:r>
            <w:r w:rsidR="00721166" w:rsidRPr="00DA083C">
              <w:rPr>
                <w:sz w:val="16"/>
                <w:szCs w:val="16"/>
              </w:rPr>
              <w:t> </w:t>
            </w:r>
            <w:r w:rsidR="00725D43" w:rsidRPr="00DA083C">
              <w:rPr>
                <w:sz w:val="16"/>
                <w:szCs w:val="16"/>
              </w:rPr>
              <w:t xml:space="preserve">rokom </w:t>
            </w:r>
            <w:r w:rsidR="00721166" w:rsidRPr="00DA083C">
              <w:rPr>
                <w:sz w:val="16"/>
                <w:szCs w:val="16"/>
              </w:rPr>
              <w:t>(r)</w:t>
            </w:r>
            <w:r w:rsidR="00725D43" w:rsidRPr="00DA083C">
              <w:rPr>
                <w:sz w:val="16"/>
                <w:szCs w:val="16"/>
              </w:rPr>
              <w:t xml:space="preserve"> chýba.</w:t>
            </w:r>
            <w:r w:rsidR="00F208D1" w:rsidRPr="00DA083C">
              <w:rPr>
                <w:sz w:val="16"/>
                <w:szCs w:val="16"/>
              </w:rPr>
              <w:t xml:space="preserve"> </w:t>
            </w:r>
            <w:r w:rsidR="00503D0B" w:rsidRPr="00DA083C">
              <w:rPr>
                <w:sz w:val="16"/>
                <w:szCs w:val="16"/>
              </w:rPr>
              <w:t xml:space="preserve">Navrhujeme </w:t>
            </w:r>
            <w:r w:rsidR="009966A3" w:rsidRPr="00DA083C">
              <w:rPr>
                <w:sz w:val="16"/>
                <w:szCs w:val="16"/>
              </w:rPr>
              <w:t xml:space="preserve">doplniť do definície </w:t>
            </w:r>
            <w:r w:rsidR="00123B87" w:rsidRPr="00DA083C">
              <w:rPr>
                <w:sz w:val="16"/>
                <w:szCs w:val="16"/>
              </w:rPr>
              <w:t xml:space="preserve">referenciu na </w:t>
            </w:r>
            <w:r w:rsidR="00A71BC2" w:rsidRPr="00DA083C">
              <w:rPr>
                <w:sz w:val="16"/>
                <w:szCs w:val="16"/>
              </w:rPr>
              <w:t>„r“.</w:t>
            </w:r>
          </w:p>
        </w:tc>
        <w:tc>
          <w:tcPr>
            <w:tcW w:w="855" w:type="dxa"/>
            <w:vAlign w:val="center"/>
          </w:tcPr>
          <w:p w14:paraId="56054DDE" w14:textId="25677398" w:rsidR="00FE56B7" w:rsidRPr="00DA083C" w:rsidRDefault="00FE56B7" w:rsidP="00FE56B7">
            <w:pPr>
              <w:jc w:val="center"/>
              <w:rPr>
                <w:sz w:val="16"/>
                <w:szCs w:val="16"/>
                <w:highlight w:val="cyan"/>
              </w:rPr>
            </w:pPr>
            <w:r w:rsidRPr="00DA083C">
              <w:rPr>
                <w:sz w:val="16"/>
                <w:szCs w:val="16"/>
              </w:rPr>
              <w:t>zásadná</w:t>
            </w:r>
          </w:p>
        </w:tc>
      </w:tr>
      <w:tr w:rsidR="00FE56B7" w:rsidRPr="00DA083C" w14:paraId="552A621D" w14:textId="77777777" w:rsidTr="001003B1">
        <w:trPr>
          <w:trHeight w:val="468"/>
          <w:jc w:val="center"/>
        </w:trPr>
        <w:tc>
          <w:tcPr>
            <w:tcW w:w="805" w:type="dxa"/>
            <w:vAlign w:val="center"/>
          </w:tcPr>
          <w:p w14:paraId="50005AAB" w14:textId="4AB89F46" w:rsidR="00FE56B7" w:rsidRPr="00DA083C" w:rsidRDefault="00FE56B7" w:rsidP="00FE56B7">
            <w:pPr>
              <w:rPr>
                <w:sz w:val="16"/>
                <w:szCs w:val="16"/>
              </w:rPr>
            </w:pPr>
            <w:r w:rsidRPr="00DA083C">
              <w:rPr>
                <w:sz w:val="16"/>
                <w:szCs w:val="16"/>
              </w:rPr>
              <w:t>KRRZ</w:t>
            </w:r>
          </w:p>
        </w:tc>
        <w:tc>
          <w:tcPr>
            <w:tcW w:w="1033" w:type="dxa"/>
            <w:vAlign w:val="center"/>
          </w:tcPr>
          <w:p w14:paraId="38A32418" w14:textId="27C325F6" w:rsidR="00FE56B7" w:rsidRPr="00DA083C" w:rsidRDefault="00FE56B7" w:rsidP="00FE56B7">
            <w:pPr>
              <w:jc w:val="center"/>
              <w:rPr>
                <w:sz w:val="16"/>
                <w:szCs w:val="16"/>
              </w:rPr>
            </w:pPr>
            <w:r w:rsidRPr="00DA083C">
              <w:rPr>
                <w:sz w:val="16"/>
                <w:szCs w:val="16"/>
              </w:rPr>
              <w:t>Čl. I Bod 150</w:t>
            </w:r>
          </w:p>
        </w:tc>
        <w:tc>
          <w:tcPr>
            <w:tcW w:w="6946" w:type="dxa"/>
            <w:vAlign w:val="center"/>
          </w:tcPr>
          <w:p w14:paraId="65AC7B9E" w14:textId="540D472A" w:rsidR="00FE56B7" w:rsidRPr="00DA083C" w:rsidRDefault="00FE56B7" w:rsidP="00FE56B7">
            <w:pPr>
              <w:jc w:val="both"/>
              <w:rPr>
                <w:sz w:val="16"/>
                <w:szCs w:val="16"/>
              </w:rPr>
            </w:pPr>
            <w:r w:rsidRPr="00DA083C">
              <w:rPr>
                <w:sz w:val="16"/>
                <w:szCs w:val="16"/>
              </w:rPr>
              <w:t>K prílohe č. 3c – premenná „r“ je definovaná, ako „rok, v ktorom sa ustanovuje všeobecný dôchodkový vek pre príslušný ročník opatrením podľa § 65 ods. 8“. Nejde tak o rok, ku ktorému sa VDV ročníka viaže. Ak by sa v jednom roku určilo viacero VDV pre rôzne ročníky, hodnota mediánu by mohla byť v každom výpočte totožná. Navrhujeme premennú „r“ definovať robustnejšie, t.j. tak, aby nebola závislá od obdobia, kedy je použitá.</w:t>
            </w:r>
          </w:p>
        </w:tc>
        <w:tc>
          <w:tcPr>
            <w:tcW w:w="855" w:type="dxa"/>
            <w:vAlign w:val="center"/>
          </w:tcPr>
          <w:p w14:paraId="250F4081" w14:textId="4858038A" w:rsidR="00FE56B7" w:rsidRPr="00DA083C" w:rsidRDefault="00FE56B7" w:rsidP="00FE56B7">
            <w:pPr>
              <w:jc w:val="center"/>
              <w:rPr>
                <w:sz w:val="16"/>
                <w:szCs w:val="16"/>
                <w:highlight w:val="cyan"/>
              </w:rPr>
            </w:pPr>
            <w:r w:rsidRPr="00DA083C">
              <w:rPr>
                <w:sz w:val="16"/>
                <w:szCs w:val="16"/>
              </w:rPr>
              <w:t>zásadná</w:t>
            </w:r>
          </w:p>
        </w:tc>
      </w:tr>
      <w:tr w:rsidR="00FE56B7" w:rsidRPr="00DA083C" w14:paraId="53FCED9B" w14:textId="77777777" w:rsidTr="001003B1">
        <w:trPr>
          <w:trHeight w:val="468"/>
          <w:jc w:val="center"/>
        </w:trPr>
        <w:tc>
          <w:tcPr>
            <w:tcW w:w="805" w:type="dxa"/>
            <w:vAlign w:val="center"/>
          </w:tcPr>
          <w:p w14:paraId="032401EB" w14:textId="0E9B4902" w:rsidR="00FE56B7" w:rsidRPr="00DA083C" w:rsidRDefault="00FE56B7" w:rsidP="00FE56B7">
            <w:pPr>
              <w:rPr>
                <w:sz w:val="16"/>
                <w:szCs w:val="16"/>
              </w:rPr>
            </w:pPr>
            <w:r w:rsidRPr="00DA083C">
              <w:rPr>
                <w:sz w:val="16"/>
                <w:szCs w:val="16"/>
              </w:rPr>
              <w:t>KRRZ</w:t>
            </w:r>
          </w:p>
        </w:tc>
        <w:tc>
          <w:tcPr>
            <w:tcW w:w="1033" w:type="dxa"/>
            <w:vAlign w:val="center"/>
          </w:tcPr>
          <w:p w14:paraId="176A3412" w14:textId="764C79F6" w:rsidR="00FE56B7" w:rsidRPr="00DA083C" w:rsidRDefault="00FE56B7" w:rsidP="00FE56B7">
            <w:pPr>
              <w:jc w:val="center"/>
              <w:rPr>
                <w:sz w:val="16"/>
                <w:szCs w:val="16"/>
              </w:rPr>
            </w:pPr>
            <w:r w:rsidRPr="00DA083C">
              <w:rPr>
                <w:sz w:val="16"/>
                <w:szCs w:val="16"/>
              </w:rPr>
              <w:t>Čl. I Bod 150</w:t>
            </w:r>
          </w:p>
        </w:tc>
        <w:tc>
          <w:tcPr>
            <w:tcW w:w="6946" w:type="dxa"/>
            <w:vAlign w:val="center"/>
          </w:tcPr>
          <w:p w14:paraId="05010AE8" w14:textId="77777777" w:rsidR="00FE56B7" w:rsidRPr="00DA083C" w:rsidRDefault="00FE56B7" w:rsidP="00FE56B7">
            <w:pPr>
              <w:jc w:val="both"/>
              <w:rPr>
                <w:sz w:val="16"/>
                <w:szCs w:val="16"/>
              </w:rPr>
            </w:pPr>
            <w:r w:rsidRPr="00DA083C">
              <w:rPr>
                <w:sz w:val="16"/>
                <w:szCs w:val="16"/>
              </w:rPr>
              <w:t>Medzi prílohou č. 3c a hlavným textom návrhu zákona sa miešajú pojmy „určenia“ a „ustanovenia“ všeobecného dôchodkového veku (VDV). Navrhujeme tento problém odstrániť zjednotením pojmov. Ak ide o rôzne úkony, je nutné ich v návrhu zákona popísať a jasne odlíšiť.</w:t>
            </w:r>
          </w:p>
          <w:p w14:paraId="605C43A6" w14:textId="78888F03" w:rsidR="00FE56B7" w:rsidRPr="00DA083C" w:rsidRDefault="00FE56B7" w:rsidP="00FE56B7">
            <w:pPr>
              <w:jc w:val="both"/>
              <w:rPr>
                <w:sz w:val="16"/>
                <w:szCs w:val="16"/>
              </w:rPr>
            </w:pPr>
            <w:r w:rsidRPr="00DA083C">
              <w:rPr>
                <w:sz w:val="16"/>
                <w:szCs w:val="16"/>
              </w:rPr>
              <w:t>Ak zákon uvažuje s tým, že „určený“ VDV je v tvare čísla (počtu rokov) zaokrúhleného na štyri desatinné miesta a „ustanovený“ VDV je v tvare rokov a mesiacov (do ktorého sa dostane nedefinovaným spôsobom), navrhujeme upustiť od toho, aby sa dva vecne odlišné pojmy označovali ako „všeobecný dôchodkový vek“ a „všeobecný dôchodkový vek“, t.j. rovnako.</w:t>
            </w:r>
          </w:p>
        </w:tc>
        <w:tc>
          <w:tcPr>
            <w:tcW w:w="855" w:type="dxa"/>
            <w:vAlign w:val="center"/>
          </w:tcPr>
          <w:p w14:paraId="4E9C0F1F" w14:textId="1F5595A8" w:rsidR="00FE56B7" w:rsidRPr="00DA083C" w:rsidRDefault="00FE56B7" w:rsidP="00FE56B7">
            <w:pPr>
              <w:jc w:val="center"/>
              <w:rPr>
                <w:sz w:val="16"/>
                <w:szCs w:val="16"/>
                <w:highlight w:val="cyan"/>
              </w:rPr>
            </w:pPr>
            <w:r w:rsidRPr="00DA083C">
              <w:rPr>
                <w:sz w:val="16"/>
                <w:szCs w:val="16"/>
              </w:rPr>
              <w:t>obyčajná</w:t>
            </w:r>
          </w:p>
        </w:tc>
      </w:tr>
    </w:tbl>
    <w:p w14:paraId="2C078E63" w14:textId="77777777" w:rsidR="00E36A5D" w:rsidRPr="00DA083C" w:rsidRDefault="00E36A5D"/>
    <w:sectPr w:rsidR="00E36A5D" w:rsidRPr="00DA08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4062" w14:textId="77777777" w:rsidR="009B233C" w:rsidRDefault="009B233C" w:rsidP="009B233C">
      <w:pPr>
        <w:spacing w:after="0" w:line="240" w:lineRule="auto"/>
      </w:pPr>
      <w:r>
        <w:separator/>
      </w:r>
    </w:p>
  </w:endnote>
  <w:endnote w:type="continuationSeparator" w:id="0">
    <w:p w14:paraId="5504ACC7" w14:textId="77777777" w:rsidR="009B233C" w:rsidRDefault="009B233C" w:rsidP="009B233C">
      <w:pPr>
        <w:spacing w:after="0" w:line="240" w:lineRule="auto"/>
      </w:pPr>
      <w:r>
        <w:continuationSeparator/>
      </w:r>
    </w:p>
  </w:endnote>
  <w:endnote w:type="continuationNotice" w:id="1">
    <w:p w14:paraId="5939D592" w14:textId="77777777" w:rsidR="00BD4325" w:rsidRDefault="00BD4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9218" w14:textId="77777777" w:rsidR="009B233C" w:rsidRDefault="009B233C" w:rsidP="009B233C">
      <w:pPr>
        <w:spacing w:after="0" w:line="240" w:lineRule="auto"/>
      </w:pPr>
      <w:r>
        <w:separator/>
      </w:r>
    </w:p>
  </w:footnote>
  <w:footnote w:type="continuationSeparator" w:id="0">
    <w:p w14:paraId="7304DDC8" w14:textId="77777777" w:rsidR="009B233C" w:rsidRDefault="009B233C" w:rsidP="009B233C">
      <w:pPr>
        <w:spacing w:after="0" w:line="240" w:lineRule="auto"/>
      </w:pPr>
      <w:r>
        <w:continuationSeparator/>
      </w:r>
    </w:p>
  </w:footnote>
  <w:footnote w:type="continuationNotice" w:id="1">
    <w:p w14:paraId="20ABE817" w14:textId="77777777" w:rsidR="00BD4325" w:rsidRDefault="00BD43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3C4"/>
    <w:multiLevelType w:val="hybridMultilevel"/>
    <w:tmpl w:val="FB00DDEE"/>
    <w:lvl w:ilvl="0" w:tplc="11F8CED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4E375F"/>
    <w:multiLevelType w:val="hybridMultilevel"/>
    <w:tmpl w:val="810062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B916209"/>
    <w:multiLevelType w:val="hybridMultilevel"/>
    <w:tmpl w:val="A0A2DD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EE23FA8"/>
    <w:multiLevelType w:val="hybridMultilevel"/>
    <w:tmpl w:val="FB184C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07D58E2"/>
    <w:multiLevelType w:val="hybridMultilevel"/>
    <w:tmpl w:val="39AA78EA"/>
    <w:lvl w:ilvl="0" w:tplc="6BAC226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262A4C"/>
    <w:rsid w:val="00005508"/>
    <w:rsid w:val="00005EE2"/>
    <w:rsid w:val="000073E4"/>
    <w:rsid w:val="00012784"/>
    <w:rsid w:val="000142E6"/>
    <w:rsid w:val="00015478"/>
    <w:rsid w:val="0001715E"/>
    <w:rsid w:val="000171D4"/>
    <w:rsid w:val="00021048"/>
    <w:rsid w:val="00021074"/>
    <w:rsid w:val="00021B94"/>
    <w:rsid w:val="00024F34"/>
    <w:rsid w:val="00025480"/>
    <w:rsid w:val="000279A4"/>
    <w:rsid w:val="000279BF"/>
    <w:rsid w:val="0003073A"/>
    <w:rsid w:val="000321A2"/>
    <w:rsid w:val="0003304E"/>
    <w:rsid w:val="000355BC"/>
    <w:rsid w:val="000360B7"/>
    <w:rsid w:val="000360B9"/>
    <w:rsid w:val="00041132"/>
    <w:rsid w:val="00041DF2"/>
    <w:rsid w:val="00044269"/>
    <w:rsid w:val="00046886"/>
    <w:rsid w:val="0004748C"/>
    <w:rsid w:val="00047FC4"/>
    <w:rsid w:val="00050E8D"/>
    <w:rsid w:val="00051DA2"/>
    <w:rsid w:val="0005250B"/>
    <w:rsid w:val="000555C5"/>
    <w:rsid w:val="00055F7E"/>
    <w:rsid w:val="0006098E"/>
    <w:rsid w:val="00062D09"/>
    <w:rsid w:val="000653E8"/>
    <w:rsid w:val="000671CC"/>
    <w:rsid w:val="0006756C"/>
    <w:rsid w:val="00070DB4"/>
    <w:rsid w:val="00074A30"/>
    <w:rsid w:val="0008139C"/>
    <w:rsid w:val="00082355"/>
    <w:rsid w:val="0008457B"/>
    <w:rsid w:val="00084FC3"/>
    <w:rsid w:val="00085D09"/>
    <w:rsid w:val="000860FC"/>
    <w:rsid w:val="00086D20"/>
    <w:rsid w:val="00087921"/>
    <w:rsid w:val="000903CD"/>
    <w:rsid w:val="000904EA"/>
    <w:rsid w:val="00090519"/>
    <w:rsid w:val="00093045"/>
    <w:rsid w:val="00096303"/>
    <w:rsid w:val="000A0744"/>
    <w:rsid w:val="000A19F7"/>
    <w:rsid w:val="000A5288"/>
    <w:rsid w:val="000A6ADD"/>
    <w:rsid w:val="000B0A42"/>
    <w:rsid w:val="000B0C62"/>
    <w:rsid w:val="000B6D59"/>
    <w:rsid w:val="000B6F46"/>
    <w:rsid w:val="000C078D"/>
    <w:rsid w:val="000C1176"/>
    <w:rsid w:val="000C20A7"/>
    <w:rsid w:val="000C34D1"/>
    <w:rsid w:val="000C7620"/>
    <w:rsid w:val="000C767F"/>
    <w:rsid w:val="000D00DE"/>
    <w:rsid w:val="000D0EFA"/>
    <w:rsid w:val="000D12AF"/>
    <w:rsid w:val="000D157D"/>
    <w:rsid w:val="000D4B24"/>
    <w:rsid w:val="000E06E7"/>
    <w:rsid w:val="000E1C57"/>
    <w:rsid w:val="000E1C9C"/>
    <w:rsid w:val="000E1E0F"/>
    <w:rsid w:val="000E1FF3"/>
    <w:rsid w:val="000E3716"/>
    <w:rsid w:val="000E4FD5"/>
    <w:rsid w:val="000E5623"/>
    <w:rsid w:val="000E610D"/>
    <w:rsid w:val="000F1798"/>
    <w:rsid w:val="000F2F6B"/>
    <w:rsid w:val="000F2F73"/>
    <w:rsid w:val="000F3C54"/>
    <w:rsid w:val="000F5A09"/>
    <w:rsid w:val="000F7380"/>
    <w:rsid w:val="001003B1"/>
    <w:rsid w:val="00102C92"/>
    <w:rsid w:val="00103A9A"/>
    <w:rsid w:val="001101B7"/>
    <w:rsid w:val="00110EA7"/>
    <w:rsid w:val="0011228E"/>
    <w:rsid w:val="001152FB"/>
    <w:rsid w:val="0011607A"/>
    <w:rsid w:val="00116E91"/>
    <w:rsid w:val="001209ED"/>
    <w:rsid w:val="00123B87"/>
    <w:rsid w:val="00124E5A"/>
    <w:rsid w:val="00125519"/>
    <w:rsid w:val="001260A2"/>
    <w:rsid w:val="0012632A"/>
    <w:rsid w:val="00137DC7"/>
    <w:rsid w:val="00140041"/>
    <w:rsid w:val="0014020F"/>
    <w:rsid w:val="00140321"/>
    <w:rsid w:val="00140990"/>
    <w:rsid w:val="00141DE8"/>
    <w:rsid w:val="00143A7F"/>
    <w:rsid w:val="001441F9"/>
    <w:rsid w:val="0014428A"/>
    <w:rsid w:val="00150778"/>
    <w:rsid w:val="001509C7"/>
    <w:rsid w:val="00150A71"/>
    <w:rsid w:val="001510CE"/>
    <w:rsid w:val="00152110"/>
    <w:rsid w:val="001539B9"/>
    <w:rsid w:val="00154E7B"/>
    <w:rsid w:val="00160ACA"/>
    <w:rsid w:val="0016243F"/>
    <w:rsid w:val="001657C6"/>
    <w:rsid w:val="00167B02"/>
    <w:rsid w:val="0017049C"/>
    <w:rsid w:val="00171B08"/>
    <w:rsid w:val="00172197"/>
    <w:rsid w:val="001731B1"/>
    <w:rsid w:val="00176450"/>
    <w:rsid w:val="001768F0"/>
    <w:rsid w:val="001775B3"/>
    <w:rsid w:val="00177BE9"/>
    <w:rsid w:val="00177BFF"/>
    <w:rsid w:val="001817AB"/>
    <w:rsid w:val="001857D2"/>
    <w:rsid w:val="001858C9"/>
    <w:rsid w:val="00186940"/>
    <w:rsid w:val="00190C06"/>
    <w:rsid w:val="001911D5"/>
    <w:rsid w:val="00191694"/>
    <w:rsid w:val="00191AEF"/>
    <w:rsid w:val="00192FC9"/>
    <w:rsid w:val="00193760"/>
    <w:rsid w:val="00195B70"/>
    <w:rsid w:val="001A0B40"/>
    <w:rsid w:val="001A40AE"/>
    <w:rsid w:val="001B44C6"/>
    <w:rsid w:val="001B5BF5"/>
    <w:rsid w:val="001B5E0F"/>
    <w:rsid w:val="001B7F41"/>
    <w:rsid w:val="001C0A75"/>
    <w:rsid w:val="001C0B44"/>
    <w:rsid w:val="001C2439"/>
    <w:rsid w:val="001C4696"/>
    <w:rsid w:val="001D2417"/>
    <w:rsid w:val="001D2857"/>
    <w:rsid w:val="001D4974"/>
    <w:rsid w:val="001D574B"/>
    <w:rsid w:val="001D642A"/>
    <w:rsid w:val="001D7FED"/>
    <w:rsid w:val="001E32FE"/>
    <w:rsid w:val="001E434A"/>
    <w:rsid w:val="001E6380"/>
    <w:rsid w:val="001E7AD2"/>
    <w:rsid w:val="001F704D"/>
    <w:rsid w:val="001F7CFF"/>
    <w:rsid w:val="00200022"/>
    <w:rsid w:val="002059D0"/>
    <w:rsid w:val="00207C34"/>
    <w:rsid w:val="00210362"/>
    <w:rsid w:val="00214117"/>
    <w:rsid w:val="00216B58"/>
    <w:rsid w:val="002211DA"/>
    <w:rsid w:val="0022496A"/>
    <w:rsid w:val="00224ECE"/>
    <w:rsid w:val="0022547E"/>
    <w:rsid w:val="002255C9"/>
    <w:rsid w:val="002257DA"/>
    <w:rsid w:val="00227378"/>
    <w:rsid w:val="002277CE"/>
    <w:rsid w:val="00236D88"/>
    <w:rsid w:val="00240FF7"/>
    <w:rsid w:val="0024346C"/>
    <w:rsid w:val="002449CA"/>
    <w:rsid w:val="00244AAB"/>
    <w:rsid w:val="00247B78"/>
    <w:rsid w:val="00251168"/>
    <w:rsid w:val="00254908"/>
    <w:rsid w:val="002553FC"/>
    <w:rsid w:val="00255F11"/>
    <w:rsid w:val="00260B9E"/>
    <w:rsid w:val="002631A1"/>
    <w:rsid w:val="002644C9"/>
    <w:rsid w:val="00265442"/>
    <w:rsid w:val="00266295"/>
    <w:rsid w:val="00270E46"/>
    <w:rsid w:val="002719F2"/>
    <w:rsid w:val="00273911"/>
    <w:rsid w:val="0027457C"/>
    <w:rsid w:val="0027463B"/>
    <w:rsid w:val="00276528"/>
    <w:rsid w:val="00276536"/>
    <w:rsid w:val="002768F6"/>
    <w:rsid w:val="00277AC6"/>
    <w:rsid w:val="00282AC4"/>
    <w:rsid w:val="002866C0"/>
    <w:rsid w:val="00290909"/>
    <w:rsid w:val="002A304B"/>
    <w:rsid w:val="002A47EB"/>
    <w:rsid w:val="002A53FE"/>
    <w:rsid w:val="002A56EA"/>
    <w:rsid w:val="002A5803"/>
    <w:rsid w:val="002A5C3F"/>
    <w:rsid w:val="002B0E32"/>
    <w:rsid w:val="002B4140"/>
    <w:rsid w:val="002B7FA6"/>
    <w:rsid w:val="002C0081"/>
    <w:rsid w:val="002C2D02"/>
    <w:rsid w:val="002C64D3"/>
    <w:rsid w:val="002C7976"/>
    <w:rsid w:val="002D01EA"/>
    <w:rsid w:val="002D11F9"/>
    <w:rsid w:val="002D377E"/>
    <w:rsid w:val="002D3863"/>
    <w:rsid w:val="002D447F"/>
    <w:rsid w:val="002D764F"/>
    <w:rsid w:val="002D7746"/>
    <w:rsid w:val="002D7D7B"/>
    <w:rsid w:val="002E0448"/>
    <w:rsid w:val="002E09C1"/>
    <w:rsid w:val="002E358A"/>
    <w:rsid w:val="002E549B"/>
    <w:rsid w:val="002E58B4"/>
    <w:rsid w:val="002E686B"/>
    <w:rsid w:val="002E71A5"/>
    <w:rsid w:val="002E78F7"/>
    <w:rsid w:val="002F071F"/>
    <w:rsid w:val="002F08DA"/>
    <w:rsid w:val="002F3BCA"/>
    <w:rsid w:val="002F6F2C"/>
    <w:rsid w:val="00300C51"/>
    <w:rsid w:val="003057A4"/>
    <w:rsid w:val="00307350"/>
    <w:rsid w:val="00323AF2"/>
    <w:rsid w:val="00324222"/>
    <w:rsid w:val="00334048"/>
    <w:rsid w:val="00334AE2"/>
    <w:rsid w:val="00341146"/>
    <w:rsid w:val="00341617"/>
    <w:rsid w:val="00342DF1"/>
    <w:rsid w:val="00343FEE"/>
    <w:rsid w:val="00345556"/>
    <w:rsid w:val="00345A06"/>
    <w:rsid w:val="003466F1"/>
    <w:rsid w:val="00350BA2"/>
    <w:rsid w:val="0035468D"/>
    <w:rsid w:val="00355BE9"/>
    <w:rsid w:val="00355D34"/>
    <w:rsid w:val="00356956"/>
    <w:rsid w:val="00360918"/>
    <w:rsid w:val="00363F7F"/>
    <w:rsid w:val="00366C44"/>
    <w:rsid w:val="00376263"/>
    <w:rsid w:val="003766B7"/>
    <w:rsid w:val="003856F3"/>
    <w:rsid w:val="00386B56"/>
    <w:rsid w:val="003903FE"/>
    <w:rsid w:val="0039664C"/>
    <w:rsid w:val="003A14D4"/>
    <w:rsid w:val="003A3214"/>
    <w:rsid w:val="003A328F"/>
    <w:rsid w:val="003A3EBD"/>
    <w:rsid w:val="003A539A"/>
    <w:rsid w:val="003A7B9C"/>
    <w:rsid w:val="003B19C5"/>
    <w:rsid w:val="003B2723"/>
    <w:rsid w:val="003B3BD9"/>
    <w:rsid w:val="003B40D7"/>
    <w:rsid w:val="003B4B3D"/>
    <w:rsid w:val="003B54DE"/>
    <w:rsid w:val="003C0C12"/>
    <w:rsid w:val="003C1E2A"/>
    <w:rsid w:val="003C2867"/>
    <w:rsid w:val="003C28D3"/>
    <w:rsid w:val="003C3895"/>
    <w:rsid w:val="003C3F8B"/>
    <w:rsid w:val="003C4C84"/>
    <w:rsid w:val="003C57F1"/>
    <w:rsid w:val="003C6644"/>
    <w:rsid w:val="003C67A7"/>
    <w:rsid w:val="003C7B61"/>
    <w:rsid w:val="003C7C79"/>
    <w:rsid w:val="003D03B3"/>
    <w:rsid w:val="003D049D"/>
    <w:rsid w:val="003D19AF"/>
    <w:rsid w:val="003D3DDA"/>
    <w:rsid w:val="003D4D31"/>
    <w:rsid w:val="003D4FB2"/>
    <w:rsid w:val="003D561C"/>
    <w:rsid w:val="003D7D3A"/>
    <w:rsid w:val="003F1838"/>
    <w:rsid w:val="003F1CD5"/>
    <w:rsid w:val="003F50DD"/>
    <w:rsid w:val="003F763A"/>
    <w:rsid w:val="003F78FF"/>
    <w:rsid w:val="00403C60"/>
    <w:rsid w:val="004060EF"/>
    <w:rsid w:val="00410386"/>
    <w:rsid w:val="004116E9"/>
    <w:rsid w:val="00412EEB"/>
    <w:rsid w:val="00413F9B"/>
    <w:rsid w:val="00414072"/>
    <w:rsid w:val="004171A2"/>
    <w:rsid w:val="00417A41"/>
    <w:rsid w:val="004209F1"/>
    <w:rsid w:val="00421B26"/>
    <w:rsid w:val="004276FF"/>
    <w:rsid w:val="00430323"/>
    <w:rsid w:val="00432377"/>
    <w:rsid w:val="004345B5"/>
    <w:rsid w:val="00440345"/>
    <w:rsid w:val="00442A1B"/>
    <w:rsid w:val="004430DA"/>
    <w:rsid w:val="00445F68"/>
    <w:rsid w:val="00446D4D"/>
    <w:rsid w:val="00447BEF"/>
    <w:rsid w:val="004521A9"/>
    <w:rsid w:val="00452F19"/>
    <w:rsid w:val="00452F64"/>
    <w:rsid w:val="004543E0"/>
    <w:rsid w:val="0045480F"/>
    <w:rsid w:val="00454B7A"/>
    <w:rsid w:val="00455037"/>
    <w:rsid w:val="004561D7"/>
    <w:rsid w:val="00461EE8"/>
    <w:rsid w:val="00464566"/>
    <w:rsid w:val="00464FF4"/>
    <w:rsid w:val="004672F5"/>
    <w:rsid w:val="004676C9"/>
    <w:rsid w:val="004703AE"/>
    <w:rsid w:val="00471FBD"/>
    <w:rsid w:val="00472FA7"/>
    <w:rsid w:val="0047554E"/>
    <w:rsid w:val="00477C83"/>
    <w:rsid w:val="00480103"/>
    <w:rsid w:val="00480FB9"/>
    <w:rsid w:val="004815DB"/>
    <w:rsid w:val="00484473"/>
    <w:rsid w:val="00484868"/>
    <w:rsid w:val="00484BEA"/>
    <w:rsid w:val="00487019"/>
    <w:rsid w:val="00487688"/>
    <w:rsid w:val="004878FD"/>
    <w:rsid w:val="0049021C"/>
    <w:rsid w:val="00490742"/>
    <w:rsid w:val="00490C03"/>
    <w:rsid w:val="00491A94"/>
    <w:rsid w:val="00492207"/>
    <w:rsid w:val="00494519"/>
    <w:rsid w:val="00496A98"/>
    <w:rsid w:val="0049797B"/>
    <w:rsid w:val="004A45D9"/>
    <w:rsid w:val="004A49B8"/>
    <w:rsid w:val="004A551C"/>
    <w:rsid w:val="004A7320"/>
    <w:rsid w:val="004A7B7F"/>
    <w:rsid w:val="004B039E"/>
    <w:rsid w:val="004B2602"/>
    <w:rsid w:val="004B2F94"/>
    <w:rsid w:val="004B4D57"/>
    <w:rsid w:val="004B5382"/>
    <w:rsid w:val="004B5B4A"/>
    <w:rsid w:val="004C07F9"/>
    <w:rsid w:val="004C2F8D"/>
    <w:rsid w:val="004C4238"/>
    <w:rsid w:val="004C437D"/>
    <w:rsid w:val="004C5C05"/>
    <w:rsid w:val="004C697A"/>
    <w:rsid w:val="004D2A2F"/>
    <w:rsid w:val="004D3CC5"/>
    <w:rsid w:val="004D45CF"/>
    <w:rsid w:val="004D5F17"/>
    <w:rsid w:val="004D69DF"/>
    <w:rsid w:val="004E4F2B"/>
    <w:rsid w:val="004E5165"/>
    <w:rsid w:val="004E7965"/>
    <w:rsid w:val="004F3F47"/>
    <w:rsid w:val="004F44CE"/>
    <w:rsid w:val="004F6182"/>
    <w:rsid w:val="004F6332"/>
    <w:rsid w:val="004F66FD"/>
    <w:rsid w:val="00503AC1"/>
    <w:rsid w:val="00503D0B"/>
    <w:rsid w:val="00503F6B"/>
    <w:rsid w:val="00504292"/>
    <w:rsid w:val="00505F59"/>
    <w:rsid w:val="0051106A"/>
    <w:rsid w:val="005153FB"/>
    <w:rsid w:val="00520128"/>
    <w:rsid w:val="005205C0"/>
    <w:rsid w:val="0052496E"/>
    <w:rsid w:val="00525BFA"/>
    <w:rsid w:val="00530869"/>
    <w:rsid w:val="00530C9C"/>
    <w:rsid w:val="00532230"/>
    <w:rsid w:val="00532F47"/>
    <w:rsid w:val="0053500C"/>
    <w:rsid w:val="00535DAD"/>
    <w:rsid w:val="00540873"/>
    <w:rsid w:val="00544D24"/>
    <w:rsid w:val="00547ABC"/>
    <w:rsid w:val="00551204"/>
    <w:rsid w:val="0055178E"/>
    <w:rsid w:val="00553200"/>
    <w:rsid w:val="00553A73"/>
    <w:rsid w:val="005579B5"/>
    <w:rsid w:val="00560BC3"/>
    <w:rsid w:val="00561261"/>
    <w:rsid w:val="00563168"/>
    <w:rsid w:val="00565C31"/>
    <w:rsid w:val="00566B31"/>
    <w:rsid w:val="00567D51"/>
    <w:rsid w:val="005721C8"/>
    <w:rsid w:val="00574767"/>
    <w:rsid w:val="005765FA"/>
    <w:rsid w:val="00577BCC"/>
    <w:rsid w:val="00581B9E"/>
    <w:rsid w:val="005822A8"/>
    <w:rsid w:val="00584F2C"/>
    <w:rsid w:val="005913D5"/>
    <w:rsid w:val="00592093"/>
    <w:rsid w:val="00595A7C"/>
    <w:rsid w:val="005A0C1E"/>
    <w:rsid w:val="005A1032"/>
    <w:rsid w:val="005A3B03"/>
    <w:rsid w:val="005A4223"/>
    <w:rsid w:val="005B0A0F"/>
    <w:rsid w:val="005B0D02"/>
    <w:rsid w:val="005B19C9"/>
    <w:rsid w:val="005B1D34"/>
    <w:rsid w:val="005B69CE"/>
    <w:rsid w:val="005B7B11"/>
    <w:rsid w:val="005B7CBE"/>
    <w:rsid w:val="005B7D5F"/>
    <w:rsid w:val="005C003C"/>
    <w:rsid w:val="005C00CE"/>
    <w:rsid w:val="005C0D46"/>
    <w:rsid w:val="005C46EC"/>
    <w:rsid w:val="005C4AF8"/>
    <w:rsid w:val="005D0945"/>
    <w:rsid w:val="005D307E"/>
    <w:rsid w:val="005D322A"/>
    <w:rsid w:val="005D4585"/>
    <w:rsid w:val="005E15CF"/>
    <w:rsid w:val="005E295A"/>
    <w:rsid w:val="005E4E0A"/>
    <w:rsid w:val="005F066E"/>
    <w:rsid w:val="005F07DA"/>
    <w:rsid w:val="005F1D75"/>
    <w:rsid w:val="005F1ED2"/>
    <w:rsid w:val="005F4530"/>
    <w:rsid w:val="005F4732"/>
    <w:rsid w:val="005F4C32"/>
    <w:rsid w:val="005F51F8"/>
    <w:rsid w:val="005F5AEC"/>
    <w:rsid w:val="005F7B45"/>
    <w:rsid w:val="00600D24"/>
    <w:rsid w:val="00601DB3"/>
    <w:rsid w:val="00606535"/>
    <w:rsid w:val="0060729B"/>
    <w:rsid w:val="006077EE"/>
    <w:rsid w:val="00610D1C"/>
    <w:rsid w:val="00621492"/>
    <w:rsid w:val="00623162"/>
    <w:rsid w:val="006269EA"/>
    <w:rsid w:val="00627BDC"/>
    <w:rsid w:val="00627E12"/>
    <w:rsid w:val="00630824"/>
    <w:rsid w:val="006320C9"/>
    <w:rsid w:val="00632209"/>
    <w:rsid w:val="00634B68"/>
    <w:rsid w:val="00635BCD"/>
    <w:rsid w:val="00636434"/>
    <w:rsid w:val="0063692E"/>
    <w:rsid w:val="00637DC6"/>
    <w:rsid w:val="00640B17"/>
    <w:rsid w:val="006435A3"/>
    <w:rsid w:val="006442B7"/>
    <w:rsid w:val="006448FA"/>
    <w:rsid w:val="006462C2"/>
    <w:rsid w:val="00651BB6"/>
    <w:rsid w:val="00660FBC"/>
    <w:rsid w:val="00662BE9"/>
    <w:rsid w:val="00664ABC"/>
    <w:rsid w:val="0066533E"/>
    <w:rsid w:val="006703BD"/>
    <w:rsid w:val="00670523"/>
    <w:rsid w:val="0067198D"/>
    <w:rsid w:val="00671E90"/>
    <w:rsid w:val="00673360"/>
    <w:rsid w:val="00674BED"/>
    <w:rsid w:val="00675792"/>
    <w:rsid w:val="00681173"/>
    <w:rsid w:val="00682B1E"/>
    <w:rsid w:val="00682B9B"/>
    <w:rsid w:val="00683B76"/>
    <w:rsid w:val="00684225"/>
    <w:rsid w:val="00686F8A"/>
    <w:rsid w:val="006871E6"/>
    <w:rsid w:val="006905BC"/>
    <w:rsid w:val="00692BB8"/>
    <w:rsid w:val="00693570"/>
    <w:rsid w:val="006948A0"/>
    <w:rsid w:val="006955EE"/>
    <w:rsid w:val="00697D47"/>
    <w:rsid w:val="006A0E9D"/>
    <w:rsid w:val="006A3EE4"/>
    <w:rsid w:val="006A5B01"/>
    <w:rsid w:val="006A5D07"/>
    <w:rsid w:val="006A5DB0"/>
    <w:rsid w:val="006A6CAA"/>
    <w:rsid w:val="006A7107"/>
    <w:rsid w:val="006A757E"/>
    <w:rsid w:val="006B03B3"/>
    <w:rsid w:val="006B37E4"/>
    <w:rsid w:val="006B48A9"/>
    <w:rsid w:val="006B631C"/>
    <w:rsid w:val="006B73EB"/>
    <w:rsid w:val="006B7A2F"/>
    <w:rsid w:val="006C2AA8"/>
    <w:rsid w:val="006D0784"/>
    <w:rsid w:val="006D2DF6"/>
    <w:rsid w:val="006D36AB"/>
    <w:rsid w:val="006D6B9B"/>
    <w:rsid w:val="006E1FEA"/>
    <w:rsid w:val="006E292C"/>
    <w:rsid w:val="006E5720"/>
    <w:rsid w:val="006E5C62"/>
    <w:rsid w:val="006E5D77"/>
    <w:rsid w:val="006F394A"/>
    <w:rsid w:val="006F4A59"/>
    <w:rsid w:val="006F4B28"/>
    <w:rsid w:val="006F75FA"/>
    <w:rsid w:val="006F7AC3"/>
    <w:rsid w:val="0070499B"/>
    <w:rsid w:val="00706074"/>
    <w:rsid w:val="00706B29"/>
    <w:rsid w:val="00707646"/>
    <w:rsid w:val="00713995"/>
    <w:rsid w:val="00713F00"/>
    <w:rsid w:val="00714198"/>
    <w:rsid w:val="00714CBB"/>
    <w:rsid w:val="007175DB"/>
    <w:rsid w:val="00717A89"/>
    <w:rsid w:val="00721166"/>
    <w:rsid w:val="007220C5"/>
    <w:rsid w:val="00725D43"/>
    <w:rsid w:val="00726383"/>
    <w:rsid w:val="00727546"/>
    <w:rsid w:val="0073133B"/>
    <w:rsid w:val="007319D8"/>
    <w:rsid w:val="007340E4"/>
    <w:rsid w:val="0073478B"/>
    <w:rsid w:val="00740C5F"/>
    <w:rsid w:val="00740D4E"/>
    <w:rsid w:val="007429A0"/>
    <w:rsid w:val="00744907"/>
    <w:rsid w:val="00744D6D"/>
    <w:rsid w:val="00751A2E"/>
    <w:rsid w:val="00752F4A"/>
    <w:rsid w:val="0075318C"/>
    <w:rsid w:val="00753429"/>
    <w:rsid w:val="007546DB"/>
    <w:rsid w:val="00754B84"/>
    <w:rsid w:val="00757C51"/>
    <w:rsid w:val="00761848"/>
    <w:rsid w:val="00763092"/>
    <w:rsid w:val="00763F60"/>
    <w:rsid w:val="007650EB"/>
    <w:rsid w:val="00773A84"/>
    <w:rsid w:val="00776AE7"/>
    <w:rsid w:val="00780C6A"/>
    <w:rsid w:val="007834CE"/>
    <w:rsid w:val="0078660C"/>
    <w:rsid w:val="00786922"/>
    <w:rsid w:val="007928C1"/>
    <w:rsid w:val="007A151B"/>
    <w:rsid w:val="007A1925"/>
    <w:rsid w:val="007A42BB"/>
    <w:rsid w:val="007A43C1"/>
    <w:rsid w:val="007A758F"/>
    <w:rsid w:val="007B1AED"/>
    <w:rsid w:val="007B29BE"/>
    <w:rsid w:val="007B35E1"/>
    <w:rsid w:val="007B532D"/>
    <w:rsid w:val="007B6138"/>
    <w:rsid w:val="007B7B29"/>
    <w:rsid w:val="007B7DFB"/>
    <w:rsid w:val="007C0017"/>
    <w:rsid w:val="007C2C33"/>
    <w:rsid w:val="007C5AA5"/>
    <w:rsid w:val="007C6C14"/>
    <w:rsid w:val="007C71CF"/>
    <w:rsid w:val="007D1B40"/>
    <w:rsid w:val="007D2E27"/>
    <w:rsid w:val="007D36E9"/>
    <w:rsid w:val="007D38FB"/>
    <w:rsid w:val="007D3BA3"/>
    <w:rsid w:val="007D5630"/>
    <w:rsid w:val="007D650E"/>
    <w:rsid w:val="007E01EE"/>
    <w:rsid w:val="007E15B5"/>
    <w:rsid w:val="007E3354"/>
    <w:rsid w:val="007E3848"/>
    <w:rsid w:val="007E38CF"/>
    <w:rsid w:val="007E428F"/>
    <w:rsid w:val="007F090B"/>
    <w:rsid w:val="007F223C"/>
    <w:rsid w:val="007F3167"/>
    <w:rsid w:val="007F35A8"/>
    <w:rsid w:val="007F4BBD"/>
    <w:rsid w:val="007F4E5F"/>
    <w:rsid w:val="007F5523"/>
    <w:rsid w:val="007F68D6"/>
    <w:rsid w:val="007F71BA"/>
    <w:rsid w:val="00804234"/>
    <w:rsid w:val="008042D6"/>
    <w:rsid w:val="00810D5B"/>
    <w:rsid w:val="0081516A"/>
    <w:rsid w:val="00817CAB"/>
    <w:rsid w:val="008222E9"/>
    <w:rsid w:val="0082345C"/>
    <w:rsid w:val="00825024"/>
    <w:rsid w:val="00826981"/>
    <w:rsid w:val="00826AB4"/>
    <w:rsid w:val="008271D4"/>
    <w:rsid w:val="00831462"/>
    <w:rsid w:val="008318AA"/>
    <w:rsid w:val="00834142"/>
    <w:rsid w:val="00835728"/>
    <w:rsid w:val="00837A66"/>
    <w:rsid w:val="008409DA"/>
    <w:rsid w:val="008416A1"/>
    <w:rsid w:val="0084234C"/>
    <w:rsid w:val="0084243E"/>
    <w:rsid w:val="00842A9F"/>
    <w:rsid w:val="008437A0"/>
    <w:rsid w:val="00843881"/>
    <w:rsid w:val="008442BD"/>
    <w:rsid w:val="008454F0"/>
    <w:rsid w:val="00850493"/>
    <w:rsid w:val="008520B3"/>
    <w:rsid w:val="0085289A"/>
    <w:rsid w:val="008528D7"/>
    <w:rsid w:val="008541D9"/>
    <w:rsid w:val="008560DF"/>
    <w:rsid w:val="00857F61"/>
    <w:rsid w:val="00861497"/>
    <w:rsid w:val="00862511"/>
    <w:rsid w:val="00862C8B"/>
    <w:rsid w:val="00863D2B"/>
    <w:rsid w:val="00863F37"/>
    <w:rsid w:val="008666D8"/>
    <w:rsid w:val="008709C2"/>
    <w:rsid w:val="00872FC6"/>
    <w:rsid w:val="00874137"/>
    <w:rsid w:val="0088059B"/>
    <w:rsid w:val="00880B33"/>
    <w:rsid w:val="00880CB7"/>
    <w:rsid w:val="00887A48"/>
    <w:rsid w:val="00890CE1"/>
    <w:rsid w:val="00891A93"/>
    <w:rsid w:val="00892B1C"/>
    <w:rsid w:val="00894638"/>
    <w:rsid w:val="008952EF"/>
    <w:rsid w:val="008955DE"/>
    <w:rsid w:val="008966D5"/>
    <w:rsid w:val="008A06BC"/>
    <w:rsid w:val="008A1575"/>
    <w:rsid w:val="008A44BA"/>
    <w:rsid w:val="008B0395"/>
    <w:rsid w:val="008B373A"/>
    <w:rsid w:val="008B4667"/>
    <w:rsid w:val="008B69AF"/>
    <w:rsid w:val="008C26A6"/>
    <w:rsid w:val="008C3A0B"/>
    <w:rsid w:val="008C3E63"/>
    <w:rsid w:val="008C7115"/>
    <w:rsid w:val="008C78CE"/>
    <w:rsid w:val="008D19A6"/>
    <w:rsid w:val="008D5E8C"/>
    <w:rsid w:val="008E0EB9"/>
    <w:rsid w:val="008E6B35"/>
    <w:rsid w:val="008F3D2B"/>
    <w:rsid w:val="008F744E"/>
    <w:rsid w:val="0090567B"/>
    <w:rsid w:val="00905738"/>
    <w:rsid w:val="009077EB"/>
    <w:rsid w:val="00907C02"/>
    <w:rsid w:val="009100F8"/>
    <w:rsid w:val="00910982"/>
    <w:rsid w:val="0091643A"/>
    <w:rsid w:val="00922E8C"/>
    <w:rsid w:val="00923F06"/>
    <w:rsid w:val="009249D4"/>
    <w:rsid w:val="00925EB2"/>
    <w:rsid w:val="00926AA7"/>
    <w:rsid w:val="009305CE"/>
    <w:rsid w:val="00932BF9"/>
    <w:rsid w:val="00933963"/>
    <w:rsid w:val="00933EC2"/>
    <w:rsid w:val="009408D7"/>
    <w:rsid w:val="00942806"/>
    <w:rsid w:val="00952717"/>
    <w:rsid w:val="00953318"/>
    <w:rsid w:val="00954624"/>
    <w:rsid w:val="0095509B"/>
    <w:rsid w:val="00957EFD"/>
    <w:rsid w:val="0096252D"/>
    <w:rsid w:val="009644F6"/>
    <w:rsid w:val="0097112C"/>
    <w:rsid w:val="009754C0"/>
    <w:rsid w:val="009765CA"/>
    <w:rsid w:val="00980B5A"/>
    <w:rsid w:val="009842DB"/>
    <w:rsid w:val="00984E27"/>
    <w:rsid w:val="00987150"/>
    <w:rsid w:val="00987990"/>
    <w:rsid w:val="00993BA3"/>
    <w:rsid w:val="00994481"/>
    <w:rsid w:val="0099576A"/>
    <w:rsid w:val="009959E2"/>
    <w:rsid w:val="009966A3"/>
    <w:rsid w:val="009A22B9"/>
    <w:rsid w:val="009A23EE"/>
    <w:rsid w:val="009A7784"/>
    <w:rsid w:val="009B233C"/>
    <w:rsid w:val="009B3977"/>
    <w:rsid w:val="009B4A50"/>
    <w:rsid w:val="009B5EB2"/>
    <w:rsid w:val="009B6048"/>
    <w:rsid w:val="009B71A6"/>
    <w:rsid w:val="009C15A2"/>
    <w:rsid w:val="009C2F59"/>
    <w:rsid w:val="009D0B4C"/>
    <w:rsid w:val="009E1A11"/>
    <w:rsid w:val="009E2A0F"/>
    <w:rsid w:val="009E2CB2"/>
    <w:rsid w:val="009E614A"/>
    <w:rsid w:val="009E6EC1"/>
    <w:rsid w:val="009E7F8D"/>
    <w:rsid w:val="009F236F"/>
    <w:rsid w:val="009F3082"/>
    <w:rsid w:val="009F5C96"/>
    <w:rsid w:val="009F752D"/>
    <w:rsid w:val="00A01900"/>
    <w:rsid w:val="00A1307A"/>
    <w:rsid w:val="00A136B2"/>
    <w:rsid w:val="00A13C0A"/>
    <w:rsid w:val="00A16D12"/>
    <w:rsid w:val="00A1705A"/>
    <w:rsid w:val="00A176F9"/>
    <w:rsid w:val="00A241CB"/>
    <w:rsid w:val="00A24B4A"/>
    <w:rsid w:val="00A27019"/>
    <w:rsid w:val="00A31872"/>
    <w:rsid w:val="00A322C3"/>
    <w:rsid w:val="00A348C0"/>
    <w:rsid w:val="00A435BC"/>
    <w:rsid w:val="00A44771"/>
    <w:rsid w:val="00A539D3"/>
    <w:rsid w:val="00A60555"/>
    <w:rsid w:val="00A61CCD"/>
    <w:rsid w:val="00A67DC3"/>
    <w:rsid w:val="00A71BC2"/>
    <w:rsid w:val="00A71F78"/>
    <w:rsid w:val="00A720C9"/>
    <w:rsid w:val="00A7254E"/>
    <w:rsid w:val="00A74D40"/>
    <w:rsid w:val="00A74E9B"/>
    <w:rsid w:val="00A76040"/>
    <w:rsid w:val="00A837BB"/>
    <w:rsid w:val="00A86635"/>
    <w:rsid w:val="00A93104"/>
    <w:rsid w:val="00A9719D"/>
    <w:rsid w:val="00A97C73"/>
    <w:rsid w:val="00AA1655"/>
    <w:rsid w:val="00AA2E93"/>
    <w:rsid w:val="00AA371E"/>
    <w:rsid w:val="00AA41B4"/>
    <w:rsid w:val="00AA4704"/>
    <w:rsid w:val="00AA62DF"/>
    <w:rsid w:val="00AA73EC"/>
    <w:rsid w:val="00AA74B6"/>
    <w:rsid w:val="00AB25F6"/>
    <w:rsid w:val="00AB2711"/>
    <w:rsid w:val="00AB67CD"/>
    <w:rsid w:val="00AB7893"/>
    <w:rsid w:val="00AB7F10"/>
    <w:rsid w:val="00AC1D66"/>
    <w:rsid w:val="00AC1E5B"/>
    <w:rsid w:val="00AC2FE6"/>
    <w:rsid w:val="00AC3927"/>
    <w:rsid w:val="00AC49ED"/>
    <w:rsid w:val="00AC52E9"/>
    <w:rsid w:val="00AC5435"/>
    <w:rsid w:val="00AC6AF8"/>
    <w:rsid w:val="00AC7B53"/>
    <w:rsid w:val="00AD04DC"/>
    <w:rsid w:val="00AD1136"/>
    <w:rsid w:val="00AD1458"/>
    <w:rsid w:val="00AD2C2D"/>
    <w:rsid w:val="00AD344C"/>
    <w:rsid w:val="00AD49C8"/>
    <w:rsid w:val="00AD568F"/>
    <w:rsid w:val="00AD6DEE"/>
    <w:rsid w:val="00AD7816"/>
    <w:rsid w:val="00AE0F16"/>
    <w:rsid w:val="00AE1260"/>
    <w:rsid w:val="00AE2FEC"/>
    <w:rsid w:val="00AE50B3"/>
    <w:rsid w:val="00AE5CD2"/>
    <w:rsid w:val="00AE7D6E"/>
    <w:rsid w:val="00AF01A4"/>
    <w:rsid w:val="00AF2AC1"/>
    <w:rsid w:val="00AF5BE5"/>
    <w:rsid w:val="00AF616D"/>
    <w:rsid w:val="00B03416"/>
    <w:rsid w:val="00B036F1"/>
    <w:rsid w:val="00B06624"/>
    <w:rsid w:val="00B079D2"/>
    <w:rsid w:val="00B10ABA"/>
    <w:rsid w:val="00B11AA7"/>
    <w:rsid w:val="00B11C0F"/>
    <w:rsid w:val="00B125A3"/>
    <w:rsid w:val="00B163E9"/>
    <w:rsid w:val="00B16C5C"/>
    <w:rsid w:val="00B1701A"/>
    <w:rsid w:val="00B1748B"/>
    <w:rsid w:val="00B2018B"/>
    <w:rsid w:val="00B21339"/>
    <w:rsid w:val="00B216EF"/>
    <w:rsid w:val="00B23C63"/>
    <w:rsid w:val="00B24AF3"/>
    <w:rsid w:val="00B32A2B"/>
    <w:rsid w:val="00B342D4"/>
    <w:rsid w:val="00B3592D"/>
    <w:rsid w:val="00B370F1"/>
    <w:rsid w:val="00B378F8"/>
    <w:rsid w:val="00B37CCF"/>
    <w:rsid w:val="00B400F5"/>
    <w:rsid w:val="00B4177D"/>
    <w:rsid w:val="00B43401"/>
    <w:rsid w:val="00B44EE5"/>
    <w:rsid w:val="00B47EBE"/>
    <w:rsid w:val="00B50B3E"/>
    <w:rsid w:val="00B52ADC"/>
    <w:rsid w:val="00B5510D"/>
    <w:rsid w:val="00B55228"/>
    <w:rsid w:val="00B55255"/>
    <w:rsid w:val="00B56919"/>
    <w:rsid w:val="00B576B9"/>
    <w:rsid w:val="00B60E99"/>
    <w:rsid w:val="00B614E5"/>
    <w:rsid w:val="00B65DBA"/>
    <w:rsid w:val="00B673BF"/>
    <w:rsid w:val="00B728C1"/>
    <w:rsid w:val="00B72FC9"/>
    <w:rsid w:val="00B73313"/>
    <w:rsid w:val="00B73A7E"/>
    <w:rsid w:val="00B82515"/>
    <w:rsid w:val="00B8302B"/>
    <w:rsid w:val="00B8343E"/>
    <w:rsid w:val="00B83A66"/>
    <w:rsid w:val="00B83FE7"/>
    <w:rsid w:val="00B84704"/>
    <w:rsid w:val="00B84AC7"/>
    <w:rsid w:val="00B85D19"/>
    <w:rsid w:val="00B869D5"/>
    <w:rsid w:val="00B878B4"/>
    <w:rsid w:val="00B90781"/>
    <w:rsid w:val="00B91AC6"/>
    <w:rsid w:val="00B9317E"/>
    <w:rsid w:val="00B93368"/>
    <w:rsid w:val="00B945AC"/>
    <w:rsid w:val="00B979FB"/>
    <w:rsid w:val="00B97BD4"/>
    <w:rsid w:val="00BA034F"/>
    <w:rsid w:val="00BA049C"/>
    <w:rsid w:val="00BA2147"/>
    <w:rsid w:val="00BA4052"/>
    <w:rsid w:val="00BA529E"/>
    <w:rsid w:val="00BA6F9E"/>
    <w:rsid w:val="00BB051D"/>
    <w:rsid w:val="00BB1067"/>
    <w:rsid w:val="00BB29EE"/>
    <w:rsid w:val="00BB2BDB"/>
    <w:rsid w:val="00BB316D"/>
    <w:rsid w:val="00BB35D8"/>
    <w:rsid w:val="00BB36E1"/>
    <w:rsid w:val="00BB374F"/>
    <w:rsid w:val="00BB5EE5"/>
    <w:rsid w:val="00BC10D8"/>
    <w:rsid w:val="00BC188D"/>
    <w:rsid w:val="00BC297F"/>
    <w:rsid w:val="00BC4A49"/>
    <w:rsid w:val="00BC7DC5"/>
    <w:rsid w:val="00BC7F60"/>
    <w:rsid w:val="00BD128B"/>
    <w:rsid w:val="00BD4325"/>
    <w:rsid w:val="00BD4530"/>
    <w:rsid w:val="00BD4D89"/>
    <w:rsid w:val="00BD58C0"/>
    <w:rsid w:val="00BD71D8"/>
    <w:rsid w:val="00BD78C8"/>
    <w:rsid w:val="00BD7DF0"/>
    <w:rsid w:val="00BE17A4"/>
    <w:rsid w:val="00BE2379"/>
    <w:rsid w:val="00BE2E29"/>
    <w:rsid w:val="00BE4BAB"/>
    <w:rsid w:val="00BE601A"/>
    <w:rsid w:val="00BE68FA"/>
    <w:rsid w:val="00BF1088"/>
    <w:rsid w:val="00BF1110"/>
    <w:rsid w:val="00BF2652"/>
    <w:rsid w:val="00C00BBA"/>
    <w:rsid w:val="00C01344"/>
    <w:rsid w:val="00C01B82"/>
    <w:rsid w:val="00C050D2"/>
    <w:rsid w:val="00C05A72"/>
    <w:rsid w:val="00C060B8"/>
    <w:rsid w:val="00C07422"/>
    <w:rsid w:val="00C1057A"/>
    <w:rsid w:val="00C13191"/>
    <w:rsid w:val="00C13441"/>
    <w:rsid w:val="00C17943"/>
    <w:rsid w:val="00C232E0"/>
    <w:rsid w:val="00C25D33"/>
    <w:rsid w:val="00C26446"/>
    <w:rsid w:val="00C2697E"/>
    <w:rsid w:val="00C270F4"/>
    <w:rsid w:val="00C30A80"/>
    <w:rsid w:val="00C30C0E"/>
    <w:rsid w:val="00C317FE"/>
    <w:rsid w:val="00C3386F"/>
    <w:rsid w:val="00C33CA1"/>
    <w:rsid w:val="00C3565D"/>
    <w:rsid w:val="00C36EA4"/>
    <w:rsid w:val="00C40423"/>
    <w:rsid w:val="00C406C9"/>
    <w:rsid w:val="00C417C6"/>
    <w:rsid w:val="00C41AF8"/>
    <w:rsid w:val="00C41C37"/>
    <w:rsid w:val="00C41EE1"/>
    <w:rsid w:val="00C42854"/>
    <w:rsid w:val="00C43F2C"/>
    <w:rsid w:val="00C45A6A"/>
    <w:rsid w:val="00C45B9A"/>
    <w:rsid w:val="00C54E02"/>
    <w:rsid w:val="00C5663C"/>
    <w:rsid w:val="00C56C91"/>
    <w:rsid w:val="00C56E0E"/>
    <w:rsid w:val="00C616B7"/>
    <w:rsid w:val="00C6303E"/>
    <w:rsid w:val="00C63F66"/>
    <w:rsid w:val="00C672E2"/>
    <w:rsid w:val="00C73504"/>
    <w:rsid w:val="00C73655"/>
    <w:rsid w:val="00C738E7"/>
    <w:rsid w:val="00C747DF"/>
    <w:rsid w:val="00C74967"/>
    <w:rsid w:val="00C74FC4"/>
    <w:rsid w:val="00C76416"/>
    <w:rsid w:val="00C8125B"/>
    <w:rsid w:val="00C8172D"/>
    <w:rsid w:val="00C91A61"/>
    <w:rsid w:val="00C93BDB"/>
    <w:rsid w:val="00C9428C"/>
    <w:rsid w:val="00C94318"/>
    <w:rsid w:val="00C9610B"/>
    <w:rsid w:val="00C964D3"/>
    <w:rsid w:val="00CA0526"/>
    <w:rsid w:val="00CA29E7"/>
    <w:rsid w:val="00CA3213"/>
    <w:rsid w:val="00CA3E2F"/>
    <w:rsid w:val="00CA5430"/>
    <w:rsid w:val="00CB0459"/>
    <w:rsid w:val="00CB223F"/>
    <w:rsid w:val="00CB3C8E"/>
    <w:rsid w:val="00CB5161"/>
    <w:rsid w:val="00CB6D0E"/>
    <w:rsid w:val="00CC07CE"/>
    <w:rsid w:val="00CC370A"/>
    <w:rsid w:val="00CC50BA"/>
    <w:rsid w:val="00CC5436"/>
    <w:rsid w:val="00CC7779"/>
    <w:rsid w:val="00CD0AA6"/>
    <w:rsid w:val="00CD38BE"/>
    <w:rsid w:val="00CD3A79"/>
    <w:rsid w:val="00CD451C"/>
    <w:rsid w:val="00CD4520"/>
    <w:rsid w:val="00CD5E48"/>
    <w:rsid w:val="00CD7856"/>
    <w:rsid w:val="00CE1103"/>
    <w:rsid w:val="00CE1B95"/>
    <w:rsid w:val="00CE3972"/>
    <w:rsid w:val="00CE498C"/>
    <w:rsid w:val="00CE53E7"/>
    <w:rsid w:val="00CE660E"/>
    <w:rsid w:val="00CE77B5"/>
    <w:rsid w:val="00CF4656"/>
    <w:rsid w:val="00CF5D30"/>
    <w:rsid w:val="00D01911"/>
    <w:rsid w:val="00D05D8A"/>
    <w:rsid w:val="00D07207"/>
    <w:rsid w:val="00D076AC"/>
    <w:rsid w:val="00D10057"/>
    <w:rsid w:val="00D126FD"/>
    <w:rsid w:val="00D131B5"/>
    <w:rsid w:val="00D135D3"/>
    <w:rsid w:val="00D138B7"/>
    <w:rsid w:val="00D169BA"/>
    <w:rsid w:val="00D16D10"/>
    <w:rsid w:val="00D20503"/>
    <w:rsid w:val="00D23894"/>
    <w:rsid w:val="00D2465B"/>
    <w:rsid w:val="00D2566C"/>
    <w:rsid w:val="00D25E3D"/>
    <w:rsid w:val="00D2711A"/>
    <w:rsid w:val="00D35BC3"/>
    <w:rsid w:val="00D36036"/>
    <w:rsid w:val="00D4010D"/>
    <w:rsid w:val="00D42978"/>
    <w:rsid w:val="00D4304B"/>
    <w:rsid w:val="00D43B10"/>
    <w:rsid w:val="00D43DE4"/>
    <w:rsid w:val="00D44996"/>
    <w:rsid w:val="00D4783E"/>
    <w:rsid w:val="00D5291E"/>
    <w:rsid w:val="00D530FC"/>
    <w:rsid w:val="00D567DA"/>
    <w:rsid w:val="00D60431"/>
    <w:rsid w:val="00D60F44"/>
    <w:rsid w:val="00D6235F"/>
    <w:rsid w:val="00D6747A"/>
    <w:rsid w:val="00D71698"/>
    <w:rsid w:val="00D72109"/>
    <w:rsid w:val="00D72D5F"/>
    <w:rsid w:val="00D73CBB"/>
    <w:rsid w:val="00D73E6D"/>
    <w:rsid w:val="00D74FCE"/>
    <w:rsid w:val="00D75F98"/>
    <w:rsid w:val="00D7672F"/>
    <w:rsid w:val="00D770F4"/>
    <w:rsid w:val="00D82BED"/>
    <w:rsid w:val="00D8450C"/>
    <w:rsid w:val="00D852A6"/>
    <w:rsid w:val="00D852C0"/>
    <w:rsid w:val="00D85C9C"/>
    <w:rsid w:val="00D85EBD"/>
    <w:rsid w:val="00D87D44"/>
    <w:rsid w:val="00D87F47"/>
    <w:rsid w:val="00D914E5"/>
    <w:rsid w:val="00D93648"/>
    <w:rsid w:val="00D94D10"/>
    <w:rsid w:val="00D952A6"/>
    <w:rsid w:val="00D960B6"/>
    <w:rsid w:val="00DA083C"/>
    <w:rsid w:val="00DA1C84"/>
    <w:rsid w:val="00DA2BBC"/>
    <w:rsid w:val="00DA3627"/>
    <w:rsid w:val="00DA38F3"/>
    <w:rsid w:val="00DA3DB9"/>
    <w:rsid w:val="00DA7B4B"/>
    <w:rsid w:val="00DB0F7F"/>
    <w:rsid w:val="00DB13DF"/>
    <w:rsid w:val="00DB2B42"/>
    <w:rsid w:val="00DB2C2B"/>
    <w:rsid w:val="00DB317A"/>
    <w:rsid w:val="00DB397A"/>
    <w:rsid w:val="00DB4BF0"/>
    <w:rsid w:val="00DB51E5"/>
    <w:rsid w:val="00DB6B98"/>
    <w:rsid w:val="00DB6D29"/>
    <w:rsid w:val="00DC0124"/>
    <w:rsid w:val="00DC2929"/>
    <w:rsid w:val="00DC5FC8"/>
    <w:rsid w:val="00DC6EA2"/>
    <w:rsid w:val="00DD0BBA"/>
    <w:rsid w:val="00DD41E8"/>
    <w:rsid w:val="00DE10FD"/>
    <w:rsid w:val="00DE1413"/>
    <w:rsid w:val="00DE4982"/>
    <w:rsid w:val="00DE4D3D"/>
    <w:rsid w:val="00DE66DC"/>
    <w:rsid w:val="00DF411D"/>
    <w:rsid w:val="00DF4354"/>
    <w:rsid w:val="00E01613"/>
    <w:rsid w:val="00E027E8"/>
    <w:rsid w:val="00E056E4"/>
    <w:rsid w:val="00E07C09"/>
    <w:rsid w:val="00E1039E"/>
    <w:rsid w:val="00E16C16"/>
    <w:rsid w:val="00E17EF6"/>
    <w:rsid w:val="00E22E06"/>
    <w:rsid w:val="00E235F6"/>
    <w:rsid w:val="00E236AA"/>
    <w:rsid w:val="00E23C9B"/>
    <w:rsid w:val="00E24396"/>
    <w:rsid w:val="00E258BE"/>
    <w:rsid w:val="00E25E57"/>
    <w:rsid w:val="00E31616"/>
    <w:rsid w:val="00E31ED5"/>
    <w:rsid w:val="00E33468"/>
    <w:rsid w:val="00E3456C"/>
    <w:rsid w:val="00E36A5D"/>
    <w:rsid w:val="00E374AF"/>
    <w:rsid w:val="00E40EC8"/>
    <w:rsid w:val="00E45C61"/>
    <w:rsid w:val="00E502AD"/>
    <w:rsid w:val="00E50DF0"/>
    <w:rsid w:val="00E56B8E"/>
    <w:rsid w:val="00E61111"/>
    <w:rsid w:val="00E62AF9"/>
    <w:rsid w:val="00E6465D"/>
    <w:rsid w:val="00E64EB2"/>
    <w:rsid w:val="00E662F2"/>
    <w:rsid w:val="00E6648F"/>
    <w:rsid w:val="00E6668C"/>
    <w:rsid w:val="00E66F9C"/>
    <w:rsid w:val="00E72921"/>
    <w:rsid w:val="00E849C8"/>
    <w:rsid w:val="00E87541"/>
    <w:rsid w:val="00E90620"/>
    <w:rsid w:val="00E912AF"/>
    <w:rsid w:val="00E92F31"/>
    <w:rsid w:val="00E965CA"/>
    <w:rsid w:val="00E97396"/>
    <w:rsid w:val="00EA16BA"/>
    <w:rsid w:val="00EA2438"/>
    <w:rsid w:val="00EA2C7B"/>
    <w:rsid w:val="00EA3145"/>
    <w:rsid w:val="00EA3945"/>
    <w:rsid w:val="00EA5333"/>
    <w:rsid w:val="00EA72B9"/>
    <w:rsid w:val="00EB1D98"/>
    <w:rsid w:val="00EB26A9"/>
    <w:rsid w:val="00EB28EE"/>
    <w:rsid w:val="00EB3B2A"/>
    <w:rsid w:val="00EC65D3"/>
    <w:rsid w:val="00EC6AD0"/>
    <w:rsid w:val="00EC72AB"/>
    <w:rsid w:val="00EC7449"/>
    <w:rsid w:val="00ED01FB"/>
    <w:rsid w:val="00ED0BA3"/>
    <w:rsid w:val="00ED19CF"/>
    <w:rsid w:val="00ED2963"/>
    <w:rsid w:val="00ED4E88"/>
    <w:rsid w:val="00ED5539"/>
    <w:rsid w:val="00EE20AA"/>
    <w:rsid w:val="00EE28F6"/>
    <w:rsid w:val="00EE30C1"/>
    <w:rsid w:val="00EE3F70"/>
    <w:rsid w:val="00EE49C5"/>
    <w:rsid w:val="00EF28EF"/>
    <w:rsid w:val="00EF3C9C"/>
    <w:rsid w:val="00EF5695"/>
    <w:rsid w:val="00EF7556"/>
    <w:rsid w:val="00F01026"/>
    <w:rsid w:val="00F02BA0"/>
    <w:rsid w:val="00F04A48"/>
    <w:rsid w:val="00F05299"/>
    <w:rsid w:val="00F06C9B"/>
    <w:rsid w:val="00F07958"/>
    <w:rsid w:val="00F109D5"/>
    <w:rsid w:val="00F113AA"/>
    <w:rsid w:val="00F114D0"/>
    <w:rsid w:val="00F121EF"/>
    <w:rsid w:val="00F13032"/>
    <w:rsid w:val="00F13E6E"/>
    <w:rsid w:val="00F1512D"/>
    <w:rsid w:val="00F164FF"/>
    <w:rsid w:val="00F208D1"/>
    <w:rsid w:val="00F20F44"/>
    <w:rsid w:val="00F24C64"/>
    <w:rsid w:val="00F250E1"/>
    <w:rsid w:val="00F269D2"/>
    <w:rsid w:val="00F35763"/>
    <w:rsid w:val="00F3673E"/>
    <w:rsid w:val="00F37EBF"/>
    <w:rsid w:val="00F37FEB"/>
    <w:rsid w:val="00F42049"/>
    <w:rsid w:val="00F43206"/>
    <w:rsid w:val="00F43558"/>
    <w:rsid w:val="00F4486B"/>
    <w:rsid w:val="00F4498E"/>
    <w:rsid w:val="00F4625B"/>
    <w:rsid w:val="00F4642C"/>
    <w:rsid w:val="00F47505"/>
    <w:rsid w:val="00F47C77"/>
    <w:rsid w:val="00F47D22"/>
    <w:rsid w:val="00F47E67"/>
    <w:rsid w:val="00F507D6"/>
    <w:rsid w:val="00F5258E"/>
    <w:rsid w:val="00F55615"/>
    <w:rsid w:val="00F559BB"/>
    <w:rsid w:val="00F56D3E"/>
    <w:rsid w:val="00F56D91"/>
    <w:rsid w:val="00F6087E"/>
    <w:rsid w:val="00F6391A"/>
    <w:rsid w:val="00F65D42"/>
    <w:rsid w:val="00F65DCC"/>
    <w:rsid w:val="00F65F8F"/>
    <w:rsid w:val="00F6621B"/>
    <w:rsid w:val="00F67CD3"/>
    <w:rsid w:val="00F705AD"/>
    <w:rsid w:val="00F7069C"/>
    <w:rsid w:val="00F710BE"/>
    <w:rsid w:val="00F738EE"/>
    <w:rsid w:val="00F75F77"/>
    <w:rsid w:val="00F767C2"/>
    <w:rsid w:val="00F80CA4"/>
    <w:rsid w:val="00F84828"/>
    <w:rsid w:val="00F859A7"/>
    <w:rsid w:val="00F859F9"/>
    <w:rsid w:val="00F90765"/>
    <w:rsid w:val="00F922EA"/>
    <w:rsid w:val="00F93952"/>
    <w:rsid w:val="00F966E2"/>
    <w:rsid w:val="00FA1B75"/>
    <w:rsid w:val="00FA29F6"/>
    <w:rsid w:val="00FA409A"/>
    <w:rsid w:val="00FA67BB"/>
    <w:rsid w:val="00FB0296"/>
    <w:rsid w:val="00FB0D3C"/>
    <w:rsid w:val="00FB12E6"/>
    <w:rsid w:val="00FB13B8"/>
    <w:rsid w:val="00FB3AD4"/>
    <w:rsid w:val="00FB3B2B"/>
    <w:rsid w:val="00FB4DA4"/>
    <w:rsid w:val="00FB50D1"/>
    <w:rsid w:val="00FB742D"/>
    <w:rsid w:val="00FC631D"/>
    <w:rsid w:val="00FC67F3"/>
    <w:rsid w:val="00FC6CC7"/>
    <w:rsid w:val="00FD62E5"/>
    <w:rsid w:val="00FE1F1B"/>
    <w:rsid w:val="00FE1F4C"/>
    <w:rsid w:val="00FE4F51"/>
    <w:rsid w:val="00FE5362"/>
    <w:rsid w:val="00FE56B7"/>
    <w:rsid w:val="00FE5C75"/>
    <w:rsid w:val="00FE5E7A"/>
    <w:rsid w:val="00FE5F88"/>
    <w:rsid w:val="00FE7A3A"/>
    <w:rsid w:val="00FE7E20"/>
    <w:rsid w:val="00FF156C"/>
    <w:rsid w:val="00FF205A"/>
    <w:rsid w:val="00FF6224"/>
    <w:rsid w:val="00FF7D94"/>
    <w:rsid w:val="01173770"/>
    <w:rsid w:val="04AE1B64"/>
    <w:rsid w:val="0A627EDE"/>
    <w:rsid w:val="0AE38A28"/>
    <w:rsid w:val="0B9545A6"/>
    <w:rsid w:val="0F5F5AEA"/>
    <w:rsid w:val="10492007"/>
    <w:rsid w:val="107FDA6F"/>
    <w:rsid w:val="10A2EE61"/>
    <w:rsid w:val="146353BE"/>
    <w:rsid w:val="16140433"/>
    <w:rsid w:val="173E0424"/>
    <w:rsid w:val="1A2EA0AC"/>
    <w:rsid w:val="200DEFB0"/>
    <w:rsid w:val="20C44B27"/>
    <w:rsid w:val="236B4871"/>
    <w:rsid w:val="253B8139"/>
    <w:rsid w:val="261D7BF7"/>
    <w:rsid w:val="289E7639"/>
    <w:rsid w:val="29BF7C96"/>
    <w:rsid w:val="2AF4331A"/>
    <w:rsid w:val="2AF4FBCD"/>
    <w:rsid w:val="2EBFEDD1"/>
    <w:rsid w:val="2F9C372D"/>
    <w:rsid w:val="2FCCCE14"/>
    <w:rsid w:val="32C6408F"/>
    <w:rsid w:val="34A548B3"/>
    <w:rsid w:val="35E8779A"/>
    <w:rsid w:val="3B369402"/>
    <w:rsid w:val="3DC7A8EC"/>
    <w:rsid w:val="44A85774"/>
    <w:rsid w:val="46476A6F"/>
    <w:rsid w:val="473FF309"/>
    <w:rsid w:val="48FAF2FF"/>
    <w:rsid w:val="523C08C0"/>
    <w:rsid w:val="56FB6B39"/>
    <w:rsid w:val="58262A4C"/>
    <w:rsid w:val="58A7972A"/>
    <w:rsid w:val="58BAFB46"/>
    <w:rsid w:val="5A853800"/>
    <w:rsid w:val="5AD874EF"/>
    <w:rsid w:val="64042995"/>
    <w:rsid w:val="66DED9FB"/>
    <w:rsid w:val="68F3F1FC"/>
    <w:rsid w:val="69F704D3"/>
    <w:rsid w:val="6BD3B1C2"/>
    <w:rsid w:val="6FDD73E9"/>
    <w:rsid w:val="72A667AE"/>
    <w:rsid w:val="72CBCFB7"/>
    <w:rsid w:val="7528B2B8"/>
    <w:rsid w:val="760F11C3"/>
    <w:rsid w:val="77E8C0B8"/>
    <w:rsid w:val="7A9D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2A4C"/>
  <w15:chartTrackingRefBased/>
  <w15:docId w15:val="{A205E78B-7BC2-4BF5-B4B6-EF32FAE3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3B1"/>
    <w:rPr>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3B1"/>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0431"/>
    <w:rPr>
      <w:color w:val="0563C1" w:themeColor="hyperlink"/>
      <w:u w:val="single"/>
    </w:rPr>
  </w:style>
  <w:style w:type="character" w:styleId="UnresolvedMention">
    <w:name w:val="Unresolved Mention"/>
    <w:basedOn w:val="DefaultParagraphFont"/>
    <w:uiPriority w:val="99"/>
    <w:unhideWhenUsed/>
    <w:rsid w:val="00D60431"/>
    <w:rPr>
      <w:color w:val="605E5C"/>
      <w:shd w:val="clear" w:color="auto" w:fill="E1DFDD"/>
    </w:rPr>
  </w:style>
  <w:style w:type="character" w:styleId="CommentReference">
    <w:name w:val="annotation reference"/>
    <w:basedOn w:val="DefaultParagraphFont"/>
    <w:uiPriority w:val="99"/>
    <w:semiHidden/>
    <w:unhideWhenUsed/>
    <w:rsid w:val="00D60431"/>
    <w:rPr>
      <w:sz w:val="16"/>
      <w:szCs w:val="16"/>
    </w:rPr>
  </w:style>
  <w:style w:type="paragraph" w:styleId="CommentText">
    <w:name w:val="annotation text"/>
    <w:basedOn w:val="Normal"/>
    <w:link w:val="CommentTextChar"/>
    <w:uiPriority w:val="99"/>
    <w:unhideWhenUsed/>
    <w:rsid w:val="00D60431"/>
    <w:pPr>
      <w:spacing w:line="240" w:lineRule="auto"/>
    </w:pPr>
    <w:rPr>
      <w:sz w:val="20"/>
      <w:szCs w:val="20"/>
    </w:rPr>
  </w:style>
  <w:style w:type="character" w:customStyle="1" w:styleId="CommentTextChar">
    <w:name w:val="Comment Text Char"/>
    <w:basedOn w:val="DefaultParagraphFont"/>
    <w:link w:val="CommentText"/>
    <w:uiPriority w:val="99"/>
    <w:rsid w:val="00D60431"/>
    <w:rPr>
      <w:sz w:val="20"/>
      <w:szCs w:val="20"/>
      <w:lang w:val="sk-SK"/>
    </w:rPr>
  </w:style>
  <w:style w:type="paragraph" w:styleId="CommentSubject">
    <w:name w:val="annotation subject"/>
    <w:basedOn w:val="CommentText"/>
    <w:next w:val="CommentText"/>
    <w:link w:val="CommentSubjectChar"/>
    <w:uiPriority w:val="99"/>
    <w:semiHidden/>
    <w:unhideWhenUsed/>
    <w:rsid w:val="00D60431"/>
    <w:rPr>
      <w:b/>
      <w:bCs/>
    </w:rPr>
  </w:style>
  <w:style w:type="character" w:customStyle="1" w:styleId="CommentSubjectChar">
    <w:name w:val="Comment Subject Char"/>
    <w:basedOn w:val="CommentTextChar"/>
    <w:link w:val="CommentSubject"/>
    <w:uiPriority w:val="99"/>
    <w:semiHidden/>
    <w:rsid w:val="00D60431"/>
    <w:rPr>
      <w:b/>
      <w:bCs/>
      <w:sz w:val="20"/>
      <w:szCs w:val="20"/>
      <w:lang w:val="sk-SK"/>
    </w:rPr>
  </w:style>
  <w:style w:type="character" w:styleId="Mention">
    <w:name w:val="Mention"/>
    <w:basedOn w:val="DefaultParagraphFont"/>
    <w:uiPriority w:val="99"/>
    <w:unhideWhenUsed/>
    <w:rsid w:val="00D60431"/>
    <w:rPr>
      <w:color w:val="2B579A"/>
      <w:shd w:val="clear" w:color="auto" w:fill="E1DFDD"/>
    </w:rPr>
  </w:style>
  <w:style w:type="paragraph" w:styleId="Revision">
    <w:name w:val="Revision"/>
    <w:hidden/>
    <w:uiPriority w:val="99"/>
    <w:semiHidden/>
    <w:rsid w:val="007D1B40"/>
    <w:pPr>
      <w:spacing w:after="0" w:line="240" w:lineRule="auto"/>
    </w:pPr>
    <w:rPr>
      <w:lang w:val="sk-SK"/>
    </w:rPr>
  </w:style>
  <w:style w:type="paragraph" w:styleId="ListParagraph">
    <w:name w:val="List Paragraph"/>
    <w:basedOn w:val="Normal"/>
    <w:link w:val="ListParagraphChar"/>
    <w:uiPriority w:val="34"/>
    <w:qFormat/>
    <w:rsid w:val="00FE5E7A"/>
    <w:pPr>
      <w:ind w:left="720"/>
      <w:contextualSpacing/>
    </w:pPr>
  </w:style>
  <w:style w:type="character" w:customStyle="1" w:styleId="ListParagraphChar">
    <w:name w:val="List Paragraph Char"/>
    <w:link w:val="ListParagraph"/>
    <w:uiPriority w:val="34"/>
    <w:locked/>
    <w:rsid w:val="00D10057"/>
    <w:rPr>
      <w:lang w:val="sk-SK"/>
    </w:rPr>
  </w:style>
  <w:style w:type="paragraph" w:styleId="Header">
    <w:name w:val="header"/>
    <w:basedOn w:val="Normal"/>
    <w:link w:val="HeaderChar"/>
    <w:uiPriority w:val="99"/>
    <w:unhideWhenUsed/>
    <w:rsid w:val="005612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233C"/>
    <w:rPr>
      <w:lang w:val="sk-SK"/>
    </w:rPr>
  </w:style>
  <w:style w:type="paragraph" w:styleId="Footer">
    <w:name w:val="footer"/>
    <w:basedOn w:val="Normal"/>
    <w:link w:val="FooterChar"/>
    <w:uiPriority w:val="99"/>
    <w:unhideWhenUsed/>
    <w:rsid w:val="005612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233C"/>
    <w:rPr>
      <w:lang w:val="sk-SK"/>
    </w:rPr>
  </w:style>
  <w:style w:type="character" w:styleId="FollowedHyperlink">
    <w:name w:val="FollowedHyperlink"/>
    <w:basedOn w:val="DefaultParagraphFont"/>
    <w:uiPriority w:val="99"/>
    <w:semiHidden/>
    <w:unhideWhenUsed/>
    <w:rsid w:val="00BB2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sr.sk/web/Dynamic/DocumentPreview.aspx?DocID=48851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7Nz7Z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5EC119FC22A0543BBECA9CA435733F4" ma:contentTypeVersion="6" ma:contentTypeDescription="Umožňuje vytvoriť nový dokument." ma:contentTypeScope="" ma:versionID="bfe12e24f61db59c20f8522189b1e017">
  <xsd:schema xmlns:xsd="http://www.w3.org/2001/XMLSchema" xmlns:xs="http://www.w3.org/2001/XMLSchema" xmlns:p="http://schemas.microsoft.com/office/2006/metadata/properties" xmlns:ns2="9d76330f-e8f1-434f-b6cd-d02727bbea50" xmlns:ns3="ca90bd8a-abf5-4496-9b56-aba63058f6b7" targetNamespace="http://schemas.microsoft.com/office/2006/metadata/properties" ma:root="true" ma:fieldsID="eec1776b269ea36c954360c529540bdc" ns2:_="" ns3:_="">
    <xsd:import namespace="9d76330f-e8f1-434f-b6cd-d02727bbea50"/>
    <xsd:import namespace="ca90bd8a-abf5-4496-9b56-aba63058f6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6330f-e8f1-434f-b6cd-d02727bbe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0bd8a-abf5-4496-9b56-aba63058f6b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8204C-7E0D-414D-ACCF-930531B4C4F4}">
  <ds:schemaRefs>
    <ds:schemaRef ds:uri="http://schemas.microsoft.com/sharepoint/v3/contenttype/forms"/>
  </ds:schemaRefs>
</ds:datastoreItem>
</file>

<file path=customXml/itemProps2.xml><?xml version="1.0" encoding="utf-8"?>
<ds:datastoreItem xmlns:ds="http://schemas.openxmlformats.org/officeDocument/2006/customXml" ds:itemID="{1E9CD78A-8622-44D2-AF25-CC5791D83AD9}">
  <ds:schemaRefs>
    <ds:schemaRef ds:uri="http://schemas.openxmlformats.org/officeDocument/2006/bibliography"/>
  </ds:schemaRefs>
</ds:datastoreItem>
</file>

<file path=customXml/itemProps3.xml><?xml version="1.0" encoding="utf-8"?>
<ds:datastoreItem xmlns:ds="http://schemas.openxmlformats.org/officeDocument/2006/customXml" ds:itemID="{543854A2-9451-4534-8406-B59644FF7489}">
  <ds:schemaRefs>
    <ds:schemaRef ds:uri="http://schemas.microsoft.com/office/2006/documentManagement/types"/>
    <ds:schemaRef ds:uri="http://schemas.openxmlformats.org/package/2006/metadata/core-properties"/>
    <ds:schemaRef ds:uri="http://schemas.microsoft.com/office/2006/metadata/properties"/>
    <ds:schemaRef ds:uri="9d76330f-e8f1-434f-b6cd-d02727bbea50"/>
    <ds:schemaRef ds:uri="http://purl.org/dc/dcmitype/"/>
    <ds:schemaRef ds:uri="http://purl.org/dc/elements/1.1/"/>
    <ds:schemaRef ds:uri="http://schemas.microsoft.com/office/infopath/2007/PartnerControls"/>
    <ds:schemaRef ds:uri="ca90bd8a-abf5-4496-9b56-aba63058f6b7"/>
    <ds:schemaRef ds:uri="http://www.w3.org/XML/1998/namespace"/>
    <ds:schemaRef ds:uri="http://purl.org/dc/terms/"/>
  </ds:schemaRefs>
</ds:datastoreItem>
</file>

<file path=customXml/itemProps4.xml><?xml version="1.0" encoding="utf-8"?>
<ds:datastoreItem xmlns:ds="http://schemas.openxmlformats.org/officeDocument/2006/customXml" ds:itemID="{5E788F09-2898-4FF9-B0EB-FAF8C3291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6330f-e8f1-434f-b6cd-d02727bbea50"/>
    <ds:schemaRef ds:uri="ca90bd8a-abf5-4496-9b56-aba63058f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4768</Words>
  <Characters>27184</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Porubsky</dc:creator>
  <cp:keywords/>
  <dc:description/>
  <cp:lastModifiedBy>Marek Porubsky</cp:lastModifiedBy>
  <cp:revision>13</cp:revision>
  <dcterms:created xsi:type="dcterms:W3CDTF">2021-08-18T13:01:00Z</dcterms:created>
  <dcterms:modified xsi:type="dcterms:W3CDTF">2021-08-20T07:01:00Z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0x01010095EC119FC22A0543BBECA9CA435733F4</vt:lpwstr>
  </property>
  <property fmtid="{D5CDD505-2E9C-101B-9397-08002B2CF9AE}" pid="3" name="_MarkAsFinal">
    <vt:bool>true</vt:bool>
  </property>
</Properties>
</file>